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2" w:lineRule="exact"/>
        <w:rPr>
          <w:sz w:val="24"/>
          <w:szCs w:val="24"/>
          <w:color w:val="auto"/>
        </w:rPr>
      </w:pPr>
    </w:p>
    <w:p>
      <w:pPr>
        <w:ind w:left="4260" w:right="3740" w:hanging="4239"/>
        <w:spacing w:after="0" w:line="208" w:lineRule="auto"/>
        <w:tabs>
          <w:tab w:leader="none" w:pos="475"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29"/>
          <w:szCs w:val="29"/>
          <w:color w:val="auto"/>
          <w:highlight w:val="black"/>
          <w:vertAlign w:val="superscript"/>
        </w:rPr>
      </w:pPr>
    </w:p>
    <w:p>
      <w:pPr>
        <w:ind w:left="5520"/>
        <w:spacing w:after="0"/>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OR</w:t>
      </w:r>
    </w:p>
    <w:p>
      <w:pPr>
        <w:spacing w:after="0" w:line="27" w:lineRule="exact"/>
        <w:rPr>
          <w:sz w:val="24"/>
          <w:szCs w:val="24"/>
          <w:color w:val="auto"/>
        </w:rPr>
      </w:pPr>
    </w:p>
    <w:p>
      <w:pPr>
        <w:ind w:left="480" w:right="740" w:hanging="459"/>
        <w:spacing w:after="0" w:line="252" w:lineRule="auto"/>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204"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5080" w:type="dxa"/>
            <w:vAlign w:val="bottom"/>
            <w:gridSpan w:val="3"/>
          </w:tcPr>
          <w:p>
            <w:pPr>
              <w:jc w:val="center"/>
              <w:ind w:right="1617"/>
              <w:spacing w:after="0"/>
              <w:rPr>
                <w:sz w:val="20"/>
                <w:szCs w:val="20"/>
                <w:color w:val="auto"/>
              </w:rPr>
            </w:pPr>
            <w:r>
              <w:rPr>
                <w:rFonts w:ascii="Times New Roman" w:cs="Times New Roman" w:eastAsia="Times New Roman" w:hAnsi="Times New Roman"/>
                <w:sz w:val="16"/>
                <w:szCs w:val="16"/>
                <w:b w:val="1"/>
                <w:bCs w:val="1"/>
                <w:color w:val="auto"/>
              </w:rPr>
              <w:t>Commission File Number 001-39122</w:t>
            </w:r>
          </w:p>
        </w:tc>
        <w:tc>
          <w:tcPr>
            <w:tcW w:w="0" w:type="dxa"/>
            <w:vAlign w:val="bottom"/>
          </w:tcPr>
          <w:p>
            <w:pPr>
              <w:spacing w:after="0"/>
              <w:rPr>
                <w:sz w:val="1"/>
                <w:szCs w:val="1"/>
                <w:color w:val="auto"/>
              </w:rPr>
            </w:pPr>
          </w:p>
        </w:tc>
      </w:tr>
      <w:tr>
        <w:trPr>
          <w:trHeight w:val="100"/>
        </w:trPr>
        <w:tc>
          <w:tcPr>
            <w:tcW w:w="2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gridSpan w:val="2"/>
          </w:tcPr>
          <w:p>
            <w:pPr>
              <w:jc w:val="center"/>
              <w:ind w:right="2177"/>
              <w:spacing w:after="0"/>
              <w:rPr>
                <w:sz w:val="20"/>
                <w:szCs w:val="20"/>
                <w:color w:val="auto"/>
              </w:rPr>
            </w:pPr>
            <w:r>
              <w:rPr>
                <w:rFonts w:ascii="Times New Roman" w:cs="Times New Roman" w:eastAsia="Times New Roman" w:hAnsi="Times New Roman"/>
                <w:sz w:val="29"/>
                <w:szCs w:val="29"/>
                <w:b w:val="1"/>
                <w:bCs w:val="1"/>
                <w:color w:val="auto"/>
                <w:w w:val="98"/>
              </w:rPr>
              <w:t>89bio, Inc.</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5080" w:type="dxa"/>
            <w:vAlign w:val="bottom"/>
            <w:gridSpan w:val="3"/>
          </w:tcPr>
          <w:p>
            <w:pPr>
              <w:jc w:val="center"/>
              <w:ind w:right="155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1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80" w:type="dxa"/>
            <w:vAlign w:val="bottom"/>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36-4946844</w:t>
            </w:r>
          </w:p>
        </w:tc>
        <w:tc>
          <w:tcPr>
            <w:tcW w:w="0" w:type="dxa"/>
            <w:vAlign w:val="bottom"/>
          </w:tcPr>
          <w:p>
            <w:pPr>
              <w:spacing w:after="0"/>
              <w:rPr>
                <w:sz w:val="1"/>
                <w:szCs w:val="1"/>
                <w:color w:val="auto"/>
              </w:rPr>
            </w:pPr>
          </w:p>
        </w:tc>
      </w:tr>
      <w:tr>
        <w:trPr>
          <w:trHeight w:val="135"/>
        </w:trPr>
        <w:tc>
          <w:tcPr>
            <w:tcW w:w="21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40" w:type="dxa"/>
            <w:vAlign w:val="bottom"/>
          </w:tcPr>
          <w:p>
            <w:pPr>
              <w:jc w:val="center"/>
              <w:ind w:left="1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21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center"/>
              <w:ind w:left="119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4"/>
        </w:trPr>
        <w:tc>
          <w:tcPr>
            <w:tcW w:w="21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142 Sansome Street, Second Floor</w:t>
            </w:r>
          </w:p>
        </w:tc>
        <w:tc>
          <w:tcPr>
            <w:tcW w:w="508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94104</w:t>
            </w:r>
          </w:p>
        </w:tc>
        <w:tc>
          <w:tcPr>
            <w:tcW w:w="0" w:type="dxa"/>
            <w:vAlign w:val="bottom"/>
          </w:tcPr>
          <w:p>
            <w:pPr>
              <w:spacing w:after="0"/>
              <w:rPr>
                <w:sz w:val="1"/>
                <w:szCs w:val="1"/>
                <w:color w:val="auto"/>
              </w:rPr>
            </w:pPr>
          </w:p>
        </w:tc>
      </w:tr>
      <w:tr>
        <w:trPr>
          <w:trHeight w:val="180"/>
        </w:trPr>
        <w:tc>
          <w:tcPr>
            <w:tcW w:w="21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San Francisco, California 94104</w:t>
            </w:r>
          </w:p>
        </w:tc>
        <w:tc>
          <w:tcPr>
            <w:tcW w:w="5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1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center"/>
              <w:ind w:left="119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432-9270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bl>
      <w:tblPr>
        <w:tblLayout w:type="fixed"/>
        <w:tblInd w:w="0" w:type="dxa"/>
        <w:tblCellMar>
          <w:top w:w="0" w:type="dxa"/>
          <w:left w:w="0" w:type="dxa"/>
          <w:bottom w:w="0" w:type="dxa"/>
          <w:right w:w="0" w:type="dxa"/>
        </w:tblCellMar>
      </w:tblPr>
      <w:tr>
        <w:trPr>
          <w:trHeight w:val="144"/>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ETNB</w:t>
            </w: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16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80"/>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30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7" w:lineRule="exact"/>
        <w:rPr>
          <w:sz w:val="24"/>
          <w:szCs w:val="24"/>
          <w:color w:val="auto"/>
        </w:rPr>
      </w:pPr>
    </w:p>
    <w:p>
      <w:pPr>
        <w:ind w:right="20"/>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such stock on The Nasdaq Global Market on June 30, 2023, the last business day of the registrant’s most recently completed second fiscal quarter) was approximately $1,175.6 million. Shares of common stock held by each officer and director and by each person who is known to own 10% or more of the outstanding common stock have been excluded in that such persons may be deemed to be affiliates of the registrant. This determination of affiliate status is not necessarily a conclusive determination for other purposes.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February 21, 2024 was 93,501,210.</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6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Portions of the registrant’s proxy statement for the 2024 Annual Meeting of Stockholders, to be held on or about May 29, 2024, are incorporated by reference into Part III of this Annual Report on Form 10-K to the extent stated herein. Such proxy statement will be filed with the Securities and Exchange Commission within 120 days of the registrant’s fiscal year ended December 31, 2023.</w:t>
      </w:r>
    </w:p>
    <w:p>
      <w:pPr>
        <w:spacing w:after="0" w:line="134" w:lineRule="exact"/>
        <w:rPr>
          <w:sz w:val="24"/>
          <w:szCs w:val="24"/>
          <w:color w:val="auto"/>
        </w:rPr>
      </w:pPr>
    </w:p>
    <w:p>
      <w:pPr>
        <w:ind w:left="280"/>
        <w:spacing w:after="0"/>
        <w:tabs>
          <w:tab w:leader="none" w:pos="1840" w:val="left"/>
          <w:tab w:leader="none" w:pos="3420" w:val="left"/>
          <w:tab w:leader="none" w:pos="4960" w:val="left"/>
          <w:tab w:leader="none" w:pos="6620" w:val="left"/>
          <w:tab w:leader="none" w:pos="832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185</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KPMG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San Francisco, California,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5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5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5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762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SIGNATURES</w:t>
            </w:r>
          </w:p>
        </w:tc>
        <w:tc>
          <w:tcPr>
            <w:tcW w:w="914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68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gridSpan w:val="15"/>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which statements involve substantial risks and uncertainties. All statements, other than statements of historical facts included in this Annual Report on Form 10-K, including statements concerning our plans, objectives, goals, strategies, future events, future revenues or performance, financing needs, plans or intentions relating to acquisitions, business trends and other information referred to in “Business,” “Risk Factors” and “Management’s Discussion and Analysis of Financial Condition and Results of Operations” are forward-looking statements. Forward-looking statements generally relate to future events or our future financial or operating performance. In some cases, you can identify forward-looking statements by terms such as “may,” “might,” “will,” “objective,” “intend,” “should,” “could,” “can,” “would,” “expect,” “believe,” “design,” “estimate,” “predict,” “potential,” “plan,” “anticipate,” “target,” “forecast,” or the negative of these terms, and similar expressions intended to identify forward-looking statements. Forward-looking statements are not historical facts and reflect our current views with respect to future events and are based on assumptions and subject to risks and uncertainties. Given these uncertainties, you should not place undue reliance on these forward-looking statements.</w:t>
      </w:r>
    </w:p>
    <w:p>
      <w:pPr>
        <w:spacing w:after="0" w:line="14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that could cause our actual results to differ materially from the forward-looking statements contained in this Annual Report on Form 10-K. Such risks, uncertainties and other important factors include, among others, the risks, uncertainties and factors set forth in “Risk Factors,” and the following risks, uncertainties and factors:</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pegozafermin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regulatory approvals for pegozafermin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interruptions, delays in patient enrollment or other delays in our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pegozafermin or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competition in our industry and with respect to the product candidates that we are developing;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members of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and the effect on our business of, evolving legal standards and regulations, including concerning data protection and consumer privacy and sustainability;</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such as the ongoing conflict in Ukraine, the conflict in Israel and surrounding areas and the rising tensions between China and Taiwan, and the macroeconomic environment, including inflationary pressures, general economic slowdown or a recession, rising interest rates, changes in monetary policy, and instability in financial institutions;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business, financial condition and results of operations may be adversely affected by other political, economic, business and competitive factors.</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may be other factors that may cause our actual results to differ materially from the forward-looking statements, including factors disclosed in “Risk Factors” and “Management’s Discussion and Analysis of Financial Condition and Results of Operations.” You should evaluate all forward-looking statements made in this Annual Report on Form 10-K in the context of these risks and uncertainties.</w:t>
      </w:r>
    </w:p>
    <w:p>
      <w:pPr>
        <w:spacing w:after="0" w:line="12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referred to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Annual Report on Form 10-K apply only as of the date made and are expressly qualified in their entirety by the cautionary statements included in this Annual Report on Form 10-K. We undertake no obligation to publicly update or revise any forward-looking statements to reflect subsequent events or circumstances.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unless context otherwise requires or where otherwise indicated, the terms “89bio” “we,” “us,” “our,” “our company,” “the company,” and “our business” refer to 89bio, Inc. and its consolidated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the treatment of liver and cardio-metabolic diseases. Our lead product candidate, pegozafermin, a specifically engineered glycoPEGylated analog of fibroblast growth factor 21 (“FGF21”), is currently being developed for the treatment of nonalcoholic steatohepatitis (“NASH”) (also known as metabolic dysfunction-associated steatohepatitis (“MASH”)) and for the treatment of severe hypertriglyceridemia (“SHTG”).</w:t>
      </w:r>
    </w:p>
    <w:p>
      <w:pPr>
        <w:spacing w:after="0" w:line="12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NASH is a severe form of nonalcoholic fatty liver disease (“NAFLD”), characterized by inflammation and fibrosis in the liver that can progress to cirrhosis, liver failure, hepatocellular carcinoma (“HCC”) and death. There are currently no approved products for the treatment of NASH. In 2020 and 2022, we presented positive topline results from our Phase 1b/2a trial of pegozafermin in NASH patients, which have informed the advancement of our subsequent clinical strategy in NASH. In our Phase 2b ENLIVEN trial of pegozafermin in NASH patients, patients received weekly doses or an every-two-week dose of pegozafermin or placebo for 24 weeks followed by a blinded extension phase of an additional 24 weeks for a total treatment period of 48 weeks. We reported topline 24 week data from ENLIVEN in March 2023. The 44 mg every-two-week and the 30 mg weekly dose groups both met, with high statistical significance, both of the primary histology endpoints per the U.S. Food and Drug Administration (“FDA”) guidance definitions on endpoints for accelerated approval in non-cirrhotic NASH patients. In September 2023, the FDA granted Breakthrough Therapy designation to pegozafermin in patients with NASH. In November 2023, we announced positive topline data from the blinded extension phase of our Phase 2b ENLIVEN trial at 48 weeks. Both the 44 mg every-two-week and 30 mg weekly dose groups demonstrated statistically significant improvements across Non-Invasive Tests (“NITs”) representing key markers of liver health. The benefits observed at week 48 represented by NITs were consistent with the histology and NITs results observed at week 24, indicating sustained benefits over time.</w:t>
      </w:r>
    </w:p>
    <w:p>
      <w:pPr>
        <w:spacing w:after="0" w:line="13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held successful end-of-Phase 2 meetings with the FDA, supporting the advancement of pegozafermin into a Phase 3 program. We have also obtained alignment with the FDA on proposed late-stage chemistry, manufacturing and controls (“CMC”) development plans and expectations in support of future biologics license application (“BLA”) filing.</w:t>
      </w:r>
    </w:p>
    <w:p>
      <w:pPr>
        <w:spacing w:after="0" w:line="12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Phase 3 ENLIGHTEN program will include two Phase 3 trials evaluating patients with NASH: ENLIGHTEN-Cirrhosis is expected to enroll patients with compensated cirrhosis (F4) and ENLIGHTEN-Fibrosis is expected to enroll patients with fibrosis stage F2-F3 (F2-F3). The F2-F3 and the F4 trials are expected to initiate in the first quarter and the second quarter of 2024, respectively. In November 2023, we received initial scientific advice from the European Medicines Agency (“EMA”), which generally aligned with the feedback from the FDA.</w:t>
      </w:r>
    </w:p>
    <w:p>
      <w:pPr>
        <w:spacing w:after="0" w:line="12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also developing pegozafermin for the treatment of SHTG. In June 2022, we announced positive topline results from the ENTRIGUE Phase 2 trial of pegozafermin in SHTG patients. SHTG is a condition identified by severely elevated levels of triglycerides (≥500 mg/dL), which is associated with an increased risk of NASH, cardiovascular events and acute pancreatitis. The trial met its primary endpoint demonstrating statistically significant and clinically meaningful reductions in triglycerides from baseline and key secondary endpoints. We received feedback from the FDA supporting the advancement of pegozafermin and initiated our Phase 3 ENTRUST trial, the first of two recommended Phase 3 trials, in the second quarter of 2023. We expect to report topline results from our Phase 3 ENTRUST trial in 2025. Safety data from the ongoing SHTG Phase 3 program is expected to support the safety database requirements for NASH and vice versa.</w:t>
      </w:r>
    </w:p>
    <w:p>
      <w:pPr>
        <w:spacing w:after="0" w:line="13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FGF21 is an anti-fibrotic metabolic hormone that regulates energy expenditure and glucose and lipid metabolism. FGF21 analogs represent a promising class of drugs to treat NASH, because they not only address the liver manifestations, but also have an effect on the multiple co-morbidities that worsen NASH. FGF21 is a clinically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validated mechanism that has been shown in humans to reduce steatosis, improve the histological features of NASH including through anti-fibrotic effects, and address cardio-metabolic dysregulation. FGF21 generates an on-target effect to increase adiponectin, a hormone released from adipose tissue that, among other functions, can suppress development and progression of hepatic fibrosis. It is also thought to exert effects on liver fibrosis by improving metabolic regulation, which reduces ongoing liver injury thus giving the liver time to heal. However, FGF21 in its native form suffers from a short half-life and a tendency to aggregate in solution, both of which impact its suitability as a viable drug. To address these challenges, we have specifically engineered pegozafermin to extend the half-life of the molecule while maintaining potency and thereby the clinical benefits of FGF21.</w:t>
      </w:r>
    </w:p>
    <w:p>
      <w:pPr>
        <w:spacing w:after="0" w:line="13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Pegozafermin may be a differentiated FGF21 therapy based on its robust and durable biological effects, a favorable tolerability profile and its potential for every-two-week dosing. Given its ability to address the key liver pathologies in NASH, as well as the underlying metabolic dysregulation in NASH patients, pegozafermin has the potential to become a backbone of treatment in NASH. Pegozafermin is the only FGF21 analog being developed for the treatment of SHTG and its broad metabolic effects could potentially differentiate it from competitors in this market. Pegozafermin has a long half-life which allows convenient weekly or every-two-week dosing and is currently the only FGF21 analog being tested in Phase 3 trials with every-two-week dosing. The convenient dosing regimen may support adoption and compliance amongst patients living with these chronic and generally asymptomatic diseases. Pegozafermin is self-administered by patients subcutaneously in a liquid formulation using a pre-filled syringe.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Priorities</w:t>
      </w:r>
    </w:p>
    <w:p>
      <w:pPr>
        <w:spacing w:after="0" w:line="175"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goal is to become a leading biopharmaceutical company focused on the development and commercialization of innovative therapies for the treatment of liver and cardio-metabolic diseases by focusing on our strategic priorities, which include rapidly advancing pegozafermin through clinical development for the treatment of NASH, progressing the development of pegozafermin for the treatment of SHTG, scaling-up and optimizing the manufacturing of pegozafermin and establishing a commercial infrastructure in key geographies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Focus on Liver and Cardio-Metabolic Disease</w:t>
      </w:r>
    </w:p>
    <w:p>
      <w:pPr>
        <w:spacing w:after="0" w:line="17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focused on developing and commercializing therapeutic interventions that have a clinically meaningful impact on patients with liver and cardio-metabolic diseases. These diseases, including NASH and SHTG, represent leading global causes of morbidity and mortality. Despite a wave of public health campaigns to promote better diet and exercise habits and a range of treatment options available for many of these diseases, there is a significant unmet medical need for more effective therapies to improve patient outcomes and reduce the burden on global healthcare systems.</w:t>
      </w:r>
    </w:p>
    <w:p>
      <w:pPr>
        <w:spacing w:after="0" w:line="1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developing our lead product candidate, pegozafermin, a specifically engineered glycoPEGylated analog of FGF21, for the treatment of NASH and SHTG. We believe pegozafermin is an ideal candidate for the treatment of NASH based on its ability to address the key liver pathologies in NASH through anti-fibrotic effects as well as its ability to address the underlying metabolic dysregulation in NASH patients, its favorable tolerability profile, and its potential for a longer dosing interval. Multiple epidemiological studies have linked NAFLD to increased cardiovascular disease, concluding that the majority of deaths among NAFLD patients are attributable to cardiovascular disease. As a result, we believe it is important that new therapeutics options for NASH address the underlying cardiovascular and metabolic dysregulations in these patients. We are also developing pegozafermin for the treatment of SHTG given the potential of pegozafermin to meaningfully reduce triglycerides. Pegozafermin may have a competitive differentiation from approved therapies and other molecules in development based on its impact on improving liver fat and other metabolic markers in addition to triglyceride reduction.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 - NASH</w:t>
      </w:r>
    </w:p>
    <w:p>
      <w:pPr>
        <w:spacing w:after="0" w:line="17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NASH (also known as MASH), a severe form of NAFLD, is characterized histologically by the additional presence of inflammation and hepatocellular injury such as visible ballooning and has a significantly worse prognosis, with the potential to progress to liver fibrosis, cirrhosis or HCC.</w:t>
      </w:r>
    </w:p>
    <w:p>
      <w:pPr>
        <w:spacing w:after="0" w:line="8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NASH represents a large and rapidly growing problem in the United States and worldwide. Diagnoses have been on the rise and are expected to increase dramatically in the next decade. The prevalence of NAFLD, which</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affects approximately 25% of the global population, and NASH, which develops in approximately 20% to 25% of NAFLD patients, is driven primarily by the worldwide obesity epidemic. As a result, the prevalence of NASH has increased significantly in recent decades, paralleling similar trends in the prevalence of obesity, insulin resistance and Type 2 diabetes. The prevalence of these conditions is expected to increase further in view of the unhealthy nutrition habits, such as consumption of a diet high in fructose, sucrose and saturated fats, and sedentary behavior that characterize modern lifestyle.</w:t>
      </w:r>
    </w:p>
    <w:p>
      <w:pPr>
        <w:spacing w:after="0" w:line="1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critical pathophysiologic mechanisms underlying the development and progression of NASH include reduced ability to handle lipids, increased insulin resistance, injury to hepatocytes and liver fibrosis in response to hepatocyte injury. NASH patients have an excessive accumulation of fat in the liver resulting primarily from a caloric intake above and beyond energy needs. A healthy liver contains less than 5% fat, but a liver in someone with NASH can contain more than 20% fat. This abnormal liver fat contributes to the progression to NASH, a liver necro-inflammatory state, that can lead to scarring, also known as fibrosis, and, for some, can progress to cirrhosis and liver failure—cirrhosis develops in approximately 20% to 45% of patients. In some cases, cirrhosis progresses to decompensated cirrhosis with attendant severe morbidity and risk of death from end stage liver disease. In addition, it is estimated that 8% of patients with advanced fibrosis will develop HCC. NASH is a complex, multifaceted disease that doesn’t just affect the liver. Patients with NASH frequently have other significant metabolic co-morbidities such as obesity, hyperglycemia, dyslipidemia and systemic hypertension (a constellation of which is commonly referred to as metabolic syndrome) and these further contribute to the risk of cardiovascular disease.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 - SHTG</w:t>
      </w:r>
    </w:p>
    <w:p>
      <w:pPr>
        <w:spacing w:after="0" w:line="1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also developing pegozafermin for the treatment of SHTG. Hypertriglyceridemia (“HTG”) is characterized by elevated fasting plasma triglyceride levels &gt; 200 mg/dL and SHTG is typically defined as triglyceride levels of ≥ 500 mg/dL. SHTG is associated with an increased risk of NAFLD, NASH and cardiovascular diseases, as well as acute pancreatitis, accounting for up to 10% of all acute pancreatitis episodes. A third-party study utilizing an omega-3 fatty acid (“omega-3 FA”) demonstrated the linkage between a reduction in triglycerides and favorable cardiovascular clinical outcomes.</w:t>
      </w:r>
    </w:p>
    <w:p>
      <w:pPr>
        <w:spacing w:after="0" w:line="1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It is estimated that there are 4 million patients in the United States with triglyceride levels of ≥ 500 mg/dL of which approximately 800,000 patients are inadequately treated with existing therapies and are thereby at increased risk for acute pancreatitis and atherosclerotic cardiovascular events. Of these patients, it is estimated that up to 100% have clinically meaningful hepatic fat using magnetic resonance imaging – proton density fat factor (“MRI-PDFF”) definition of ≥ 5% fat fraction (baseline data from the sub-study in ENTRIGUE; n=24), up to 70% have Type 2 diabetes, and up to 65% have high LDL. This patient population is expected to increase due to the triple epidemic of obesity, metabolic syndrome and Type 2 diabetes. In addition, the addressable market has the potential to expand as a result of increasing awareness of the importance of treating elevated triglyceride levels, similar to the focus today of physicians on managing LDL-c levels, as well as the commercial efforts of other companies that are expected to promote triglyceride reduction.</w:t>
      </w:r>
    </w:p>
    <w:p>
      <w:pPr>
        <w:spacing w:after="0" w:line="13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treatment regimen for SHTG includes dietary restrictions and lipid-lowering drug treatment such as fibrates, omega-3 fish oils and niacin. Some statins are indicated in HTG but do not have an indication for use in SHTG. Despite multiple agents approved for the treatment of SHTG, these agents have limitations that may not make them ideal for all patients. In third-party studies, up to 50% of treated SHTG patients were unable to reduce their triglyceride levels to &lt; 500 mg/dL despite using approved drugs and are considered refractory patients. These refractory patients have substantial unmet medical need and represent a significant market opportunity for pegozafermin as an add-on therapy along with the opportunity for pegozafermin to be used in patients not on any background therapy. Given the continuing unmet need in SHTG and limitations of current treatments, there are other novel agents in development for the treatment of SHTG, including ANGPTL3 and APOC3 inhibitors.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Diagnosis of NASH</w:t>
      </w:r>
    </w:p>
    <w:p>
      <w:pPr>
        <w:spacing w:after="0" w:line="1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Most people with NASH are asymptomatic and their disease is often discovered incidentally following a liver imaging procedure, such as an ultrasound, prescribed for other reasons or as part of an investigation for elevated liver enzymes. Once suspected clinically, a liver biopsy is required to definitively diagnose NASH, which necessitates the joint presence of steatosis, ballooning and lobular inflammation. Once pathologically confirmed,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severity of NAFLD and NASH is determined using the histologically validated NAS, which grades disease activity on a scale of 0 to 8. The NAS is the sum of the individual scores for steatosis (0 to 3), lobular inflammation (0 to 3), and hepatocellular ballooning (0 to 2) but does not include a score for fibrosis. Fibrosis staging (F0-F4) relies on the Kleiner classification (F0 = no fibrosis; F1 = perisinusoidal or periportal fibrosis (not both); F2 = both perisinusoidal and periportal fibrosis; F3 = bridging fibrosis; F4 = cirrhosis).</w:t>
      </w:r>
    </w:p>
    <w:p>
      <w:pPr>
        <w:spacing w:after="0" w:line="12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Histological diagnosis remains the gold standard for assessment of NASH and fibrosis. However, given that liver biopsy is associated with risks of pain, bleeding and other morbidity, as well as significant cost, the procedure is not practical for general patient screening. Additionally, histology diagnosis is confounded by evaluation of a small sliver of a large heterogenous organ that may not represent the full organ, and significant variability in reading of slides including inter- and intra-reader variability. Several non-invasive tools such as clinical risk scores, serum markers and imaging techniques are increasingly used to assess NASH patients. NITs, such as the Fibroscan-AST (“FAST”) score, Fibrosis-4 index, the Enhanced Liver Fibrosis score and vibration-controlled transient elastography, (“VCTE”), have been validated and are increasingly used. These NITs have an excellent negative predictive value and an acceptable positive predictive value for detection of advanced (≥ F3) fibrosis and are increasingly used in clinical settings. Additionally, evidence is emerging that shows a correlation between reduction in steatosis as measured by MRI-PDFF and reduction in ALT ≥17 U/L and histologic improvement on liver biopsy. In draft guidance, the FDA encouraged sponsors to identify biochemical or noninvasive imaging biomarkers that, once characterized and agreed by the FDA, could replace liver biopsies for patient selection and efficacy assessment in clinical trials.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the validation and subsequent adoption of these NITs will result in an increase in the diagnosis and treatment rates for NASH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FGF21 Overview</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Fibroblast growth factors (“FGFs”), including FGF21, are a large family of cell-signaling proteins involved in the regulation of many processes within the body. FGF21 is an endogenous metabolic hormone that regulates energy homeostasis, glucose-lipid-protein metabolism and insulin sensitivity, and modulates the pathways that mitigate against intracellular stress. FGF21 is secreted primarily by the liver but is also secreted by the white adipose tissue, skeletal muscle and the pancreas. FGF21 exerts its biological benefits through the activation of three fibroblast growth factor receptors (“FGFRs”), FGFR1c, FGFR2c and FGFR3c, and requires co-activation of the transmembrane protein cofactor beta Klotho (“ß-Klotho”). FGF21 is not believed to activate FGFR4, which has been associated with adverse effects. FGF21 can act directly or indirectly on target organs by mediating downstream regulators, such as adiponectin, and upstream regulators that induce FGF21, such as nutritional stress or transcription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Biological Effects of FGF21: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Reducing Liver Steatosis by Improving Lipid Handling and Insulin Sensitivity</w:t>
      </w:r>
    </w:p>
    <w:p>
      <w:pPr>
        <w:spacing w:after="0" w:line="175"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FGF21 has been clinically shown to reduce liver steatosis. FGF21 reduces liver steatosis by (1) increasing fatty acid oxidation in the liver, (2) reducing the deposition of free fatty acids from peripheral tissue to the liver and (3) reducing DNL in the liver. FGF21 exerts its systemic effects by reducing the serum levels of lipids (e.g., triglycerides, LDL cholesterol) and increasing insulin sensitivity. Increasing insulin sensitivity reduces lipolysis and can also reduce serum levels of lipids. In particular, FGF21 has been demonstrated to reduce liver fat in patients with NASH in multiple clinical trials.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Improving Liver Inflammation and Fibrosis</w:t>
      </w:r>
    </w:p>
    <w:p>
      <w:pPr>
        <w:spacing w:after="0" w:line="175"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FGF21 is also believed to reduce liver fibrosis, the pathological change most clearly linked to liver-related morbidity in NASH patients via two potential pathways. One pathway is through the metabolic benefits of FGF21 described above. Long-term improvements in metabolic regulation reduce the ongoing liver injury that drives fibrosis and thus allows the liver time to heal. The other pathway is a direct anti-fibrotic effect mediated via adiponectin, an adipokine that is upregulated by FGF21. Increased adiponectin downregulates the hepatic stellate cells that are activated upon hepatic injury and responsible for collagen deposition and subsequent fibrosis. FGF21 demonstrated an improvement in liver fibrosis in patients in NASH in a clinical trial.</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FGF21 Signaling</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noted above, FGF21 exerts its biological benefits through the co-activation of FGFRs and ß-Klotho. FGFRs are expressed widely throughout the body whereas ß-Klotho is primarily expressed in metabolic tissues such as adipose tissue, liver, and pancreas, thereby providing organ specificity to FGF21. The binding of FGF21 is a two-step process. The C-terminus of FGF21 initially binds to ß-Klotho enabling the N-terminus to form an expanded complex with one of the FGFRs. Once the co-receptor complex has formed with ß</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Klotho and one of the FGFRs, a series of intracellular signaling cascades is initiated. These signaling cascades enable FGF21 to exert its biological functions.</w:t>
      </w:r>
    </w:p>
    <w:p>
      <w:pPr>
        <w:spacing w:after="0" w:line="1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FGF21 activates three specific FGFRs (FGFR1c, FGFR2c and FGFR3c), which based on nonclinical studies and clinical trials, appear to be responsible for mediating the desired therapeutic actions of FGF21 in NASH. FGF21 is not believed to activate FGFR4. Activation of FGFR4 results in an increase in LDL cholesterol and has been implicated in the etiology or progression of HCC.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Pegozafermin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developing pegozafermin, a specifically engineered glycoPEGylated analog of FGF21, for the treatment of NASH and SHTG. Pegozafermin has been specifically engineered to retain the activity of native FGF21 while extending its half-life. Specifically, it has been engineered to: (1) protect against proteolysis and reduce renal clearance, (2) have an extended half-life, (3) minimize susceptibility to aggregate in solution and (4) optimize its potency, enabling the potential use of lower dosage/doses. Additionally, we believe that pegozafermin may enhance binding affinity for ß-Klotho, by altering the conformation of the C-terminus which could have a positive impact on efficacy.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Structure and Protein Engineering of Pegozafermin</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Pegozafermin has been optimally constructed with two mutations via substitutions with natural amino acids at site-specific positions (173 and 176) toward the C-terminus end of the hormone. The mutations were incorporated into the FGF21 sequence after existing proline to create a consensus sequence for glycosylation. Subsequently, the glycosyl linker and a single 20 kDa glycoPEG moiety were enzymatically introduced at the O-linked glycosylation consensus site (position 173) via the proprietary glycoPEGylation technology. Our glycoPEG moiety is an activated form of the PEG molecule with the use of Sialic Acid, CMP-SA-PEG. The proximity of the mutations ensures consistent and efficient attachment of the glycoPEG moiety.</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Pegozafermin has two modified natural amino acid residues:</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S173T: Serine modified to Threonine at position 173;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R176A: Arginine modified to Alanine at position 176.</w:t>
      </w:r>
    </w:p>
    <w:p>
      <w:pPr>
        <w:spacing w:after="0" w:line="17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a Methionine residue was introduced at the N-terminus which acts as the translation initiation signal. Figure 1 below shows the structure of pegozafermin.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1: Structure of Pegozafermin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156845</wp:posOffset>
            </wp:positionV>
            <wp:extent cx="4749165" cy="1979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4916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increase in the size of the molecule from 19.4 kDa to 40 kDa together with the site-specific mutations adjacent to the primary cleavage site of FGF21 (by the FAP enzyme between positions 171 and 172 on the native amino acid chain, which would be represented by positions 172 and 173 in our molecule starting with Methionine in position 1) are designed to prolong the half-life of the molecule. Additionally, we believe that the use of glycoPEGylation technology produces a comparatively stronger and more flexible structure, which aids in the development of a stable formulation. PEGylation technology has been used successfully in many pharmaceutical products including products that have been marketed for more than 10 years. Similar moles of FGF21 are delivered with pegozafermin 30mg and efruxifermin 50mg.</w:t>
      </w:r>
    </w:p>
    <w:p>
      <w:pPr>
        <w:spacing w:after="0" w:line="133"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Pegozafermin uses a proprietary glycoPEGylation technology that has been previously validated by a third party, as this technology is incorporated in another pharmaceutical product (Lonquex® by Teva) that has received regulatory approval and is currently commercialized in the European Union.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2: Summary of Pegozafermin Attributes and Benefits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520" w:type="dxa"/>
            <w:vAlign w:val="bottom"/>
            <w:tcBorders>
              <w:top w:val="single" w:sz="8" w:color="231F20"/>
              <w:left w:val="single" w:sz="8" w:color="231F20"/>
              <w:bottom w:val="single" w:sz="8" w:color="3297D3"/>
              <w:right w:val="single" w:sz="8" w:color="231F20"/>
            </w:tcBorders>
            <w:shd w:val="clear" w:color="auto" w:fill="3297D3"/>
          </w:tcPr>
          <w:p>
            <w:pPr>
              <w:ind w:left="1180"/>
              <w:spacing w:after="0"/>
              <w:rPr>
                <w:sz w:val="20"/>
                <w:szCs w:val="20"/>
                <w:color w:val="auto"/>
              </w:rPr>
            </w:pPr>
            <w:r>
              <w:rPr>
                <w:rFonts w:ascii="Times New Roman" w:cs="Times New Roman" w:eastAsia="Times New Roman" w:hAnsi="Times New Roman"/>
                <w:sz w:val="18"/>
                <w:szCs w:val="18"/>
                <w:b w:val="1"/>
                <w:bCs w:val="1"/>
                <w:color w:val="FFFFFF"/>
              </w:rPr>
              <w:t>Features</w:t>
            </w:r>
          </w:p>
        </w:tc>
        <w:tc>
          <w:tcPr>
            <w:tcW w:w="580" w:type="dxa"/>
            <w:vAlign w:val="bottom"/>
            <w:tcBorders>
              <w:top w:val="single" w:sz="8" w:color="231F20"/>
              <w:bottom w:val="single" w:sz="8" w:color="231F20"/>
            </w:tcBorders>
            <w:shd w:val="clear" w:color="auto" w:fill="3297D3"/>
          </w:tcPr>
          <w:p>
            <w:pPr>
              <w:spacing w:after="0"/>
              <w:rPr>
                <w:sz w:val="22"/>
                <w:szCs w:val="22"/>
                <w:color w:val="auto"/>
              </w:rPr>
            </w:pPr>
          </w:p>
        </w:tc>
        <w:tc>
          <w:tcPr>
            <w:tcW w:w="4860" w:type="dxa"/>
            <w:vAlign w:val="bottom"/>
            <w:tcBorders>
              <w:top w:val="single" w:sz="8" w:color="231F20"/>
              <w:bottom w:val="single" w:sz="8" w:color="231F20"/>
              <w:right w:val="single" w:sz="8" w:color="231F20"/>
            </w:tcBorders>
            <w:shd w:val="clear" w:color="auto" w:fill="3297D3"/>
          </w:tcPr>
          <w:p>
            <w:pPr>
              <w:ind w:left="1680"/>
              <w:spacing w:after="0"/>
              <w:rPr>
                <w:sz w:val="20"/>
                <w:szCs w:val="20"/>
                <w:color w:val="auto"/>
              </w:rPr>
            </w:pPr>
            <w:r>
              <w:rPr>
                <w:rFonts w:ascii="Times New Roman" w:cs="Times New Roman" w:eastAsia="Times New Roman" w:hAnsi="Times New Roman"/>
                <w:sz w:val="18"/>
                <w:szCs w:val="18"/>
                <w:b w:val="1"/>
                <w:bCs w:val="1"/>
                <w:color w:val="FFFFFF"/>
              </w:rPr>
              <w:t>Description</w:t>
            </w:r>
          </w:p>
        </w:tc>
        <w:tc>
          <w:tcPr>
            <w:tcW w:w="3280" w:type="dxa"/>
            <w:vAlign w:val="bottom"/>
            <w:tcBorders>
              <w:top w:val="single" w:sz="8" w:color="231F20"/>
              <w:bottom w:val="single" w:sz="8" w:color="231F20"/>
              <w:right w:val="single" w:sz="8" w:color="231F20"/>
            </w:tcBorders>
            <w:shd w:val="clear" w:color="auto" w:fill="3297D3"/>
          </w:tcPr>
          <w:p>
            <w:pPr>
              <w:ind w:left="1300"/>
              <w:spacing w:after="0"/>
              <w:rPr>
                <w:sz w:val="20"/>
                <w:szCs w:val="20"/>
                <w:color w:val="auto"/>
              </w:rPr>
            </w:pPr>
            <w:r>
              <w:rPr>
                <w:rFonts w:ascii="Times New Roman" w:cs="Times New Roman" w:eastAsia="Times New Roman" w:hAnsi="Times New Roman"/>
                <w:sz w:val="18"/>
                <w:szCs w:val="18"/>
                <w:b w:val="1"/>
                <w:bCs w:val="1"/>
                <w:color w:val="FFFFFF"/>
              </w:rPr>
              <w:t>Potential Benefit</w:t>
            </w:r>
          </w:p>
        </w:tc>
      </w:tr>
      <w:tr>
        <w:trPr>
          <w:trHeight w:val="225"/>
        </w:trPr>
        <w:tc>
          <w:tcPr>
            <w:tcW w:w="25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Use of PEG (via</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Increases protein size and hydrodynamic volume that reduces</w:t>
            </w:r>
          </w:p>
        </w:tc>
        <w:tc>
          <w:tcPr>
            <w:tcW w:w="3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 Prolongs half-life</w:t>
            </w:r>
          </w:p>
        </w:tc>
      </w:tr>
      <w:tr>
        <w:trPr>
          <w:trHeight w:val="216"/>
        </w:trPr>
        <w:tc>
          <w:tcPr>
            <w:tcW w:w="25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glycoPEGylation)</w:t>
            </w:r>
          </w:p>
        </w:tc>
        <w:tc>
          <w:tcPr>
            <w:tcW w:w="580" w:type="dxa"/>
            <w:vAlign w:val="bottom"/>
          </w:tcPr>
          <w:p>
            <w:pPr>
              <w:spacing w:after="0"/>
              <w:rPr>
                <w:sz w:val="18"/>
                <w:szCs w:val="18"/>
                <w:color w:val="auto"/>
              </w:rPr>
            </w:pPr>
          </w:p>
        </w:tc>
        <w:tc>
          <w:tcPr>
            <w:tcW w:w="48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renal filtration</w:t>
            </w:r>
          </w:p>
        </w:tc>
        <w:tc>
          <w:tcPr>
            <w:tcW w:w="3280" w:type="dxa"/>
            <w:vAlign w:val="bottom"/>
            <w:tcBorders>
              <w:right w:val="single" w:sz="8" w:color="231F20"/>
            </w:tcBorders>
          </w:tcPr>
          <w:p>
            <w:pPr>
              <w:spacing w:after="0"/>
              <w:rPr>
                <w:sz w:val="18"/>
                <w:szCs w:val="18"/>
                <w:color w:val="auto"/>
              </w:rPr>
            </w:pPr>
          </w:p>
        </w:tc>
      </w:tr>
      <w:tr>
        <w:trPr>
          <w:trHeight w:val="230"/>
        </w:trPr>
        <w:tc>
          <w:tcPr>
            <w:tcW w:w="2520" w:type="dxa"/>
            <w:vAlign w:val="bottom"/>
            <w:tcBorders>
              <w:left w:val="single" w:sz="8" w:color="231F20"/>
              <w:right w:val="single" w:sz="8" w:color="231F20"/>
            </w:tcBorders>
          </w:tcPr>
          <w:p>
            <w:pPr>
              <w:spacing w:after="0"/>
              <w:rPr>
                <w:sz w:val="19"/>
                <w:szCs w:val="19"/>
                <w:color w:val="auto"/>
              </w:rPr>
            </w:pPr>
          </w:p>
        </w:tc>
        <w:tc>
          <w:tcPr>
            <w:tcW w:w="5440" w:type="dxa"/>
            <w:vAlign w:val="bottom"/>
            <w:tcBorders>
              <w:bottom w:val="single" w:sz="8" w:color="231F20"/>
              <w:right w:val="single" w:sz="8" w:color="231F20"/>
            </w:tcBorders>
            <w:gridSpan w:val="2"/>
          </w:tcPr>
          <w:p>
            <w:pPr>
              <w:ind w:left="420"/>
              <w:spacing w:after="0"/>
              <w:rPr>
                <w:sz w:val="20"/>
                <w:szCs w:val="20"/>
                <w:color w:val="auto"/>
              </w:rPr>
            </w:pPr>
            <w:r>
              <w:rPr>
                <w:rFonts w:ascii="Times New Roman" w:cs="Times New Roman" w:eastAsia="Times New Roman" w:hAnsi="Times New Roman"/>
                <w:sz w:val="18"/>
                <w:szCs w:val="18"/>
                <w:color w:val="auto"/>
              </w:rPr>
              <w:t>▪  Prevents degradation by endocytosis and proteolytic enzymes</w:t>
            </w:r>
          </w:p>
        </w:tc>
        <w:tc>
          <w:tcPr>
            <w:tcW w:w="3280" w:type="dxa"/>
            <w:vAlign w:val="bottom"/>
            <w:tcBorders>
              <w:bottom w:val="single" w:sz="8" w:color="231F20"/>
              <w:right w:val="single" w:sz="8" w:color="231F20"/>
            </w:tcBorders>
          </w:tcPr>
          <w:p>
            <w:pPr>
              <w:spacing w:after="0"/>
              <w:rPr>
                <w:sz w:val="19"/>
                <w:szCs w:val="19"/>
                <w:color w:val="auto"/>
              </w:rPr>
            </w:pPr>
          </w:p>
        </w:tc>
      </w:tr>
      <w:tr>
        <w:trPr>
          <w:trHeight w:val="205"/>
        </w:trPr>
        <w:tc>
          <w:tcPr>
            <w:tcW w:w="2520" w:type="dxa"/>
            <w:vAlign w:val="bottom"/>
            <w:tcBorders>
              <w:left w:val="single" w:sz="8" w:color="231F20"/>
              <w:right w:val="single" w:sz="8" w:color="231F20"/>
            </w:tcBorders>
          </w:tcPr>
          <w:p>
            <w:pPr>
              <w:spacing w:after="0"/>
              <w:rPr>
                <w:sz w:val="17"/>
                <w:szCs w:val="17"/>
                <w:color w:val="auto"/>
              </w:rPr>
            </w:pPr>
          </w:p>
        </w:tc>
        <w:tc>
          <w:tcPr>
            <w:tcW w:w="580" w:type="dxa"/>
            <w:vAlign w:val="bottom"/>
          </w:tcPr>
          <w:p>
            <w:pPr>
              <w:ind w:left="4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Protects antigenic sites present on the protein surface (i.e.</w:t>
            </w:r>
          </w:p>
        </w:tc>
        <w:tc>
          <w:tcPr>
            <w:tcW w:w="3280" w:type="dxa"/>
            <w:vAlign w:val="bottom"/>
            <w:tcBorders>
              <w:right w:val="single" w:sz="8" w:color="231F20"/>
            </w:tcBorders>
          </w:tcPr>
          <w:p>
            <w:pPr>
              <w:ind w:left="440"/>
              <w:spacing w:after="0" w:line="205" w:lineRule="exact"/>
              <w:rPr>
                <w:sz w:val="20"/>
                <w:szCs w:val="20"/>
                <w:color w:val="auto"/>
              </w:rPr>
            </w:pPr>
            <w:r>
              <w:rPr>
                <w:rFonts w:ascii="Times New Roman" w:cs="Times New Roman" w:eastAsia="Times New Roman" w:hAnsi="Times New Roman"/>
                <w:sz w:val="18"/>
                <w:szCs w:val="18"/>
                <w:color w:val="auto"/>
              </w:rPr>
              <w:t>▪ Reduces immunogenicity</w:t>
            </w:r>
          </w:p>
        </w:tc>
      </w:tr>
      <w:tr>
        <w:trPr>
          <w:trHeight w:val="241"/>
        </w:trPr>
        <w:tc>
          <w:tcPr>
            <w:tcW w:w="2520" w:type="dxa"/>
            <w:vAlign w:val="bottom"/>
            <w:tcBorders>
              <w:left w:val="single" w:sz="8" w:color="231F20"/>
              <w:right w:val="single" w:sz="8" w:color="231F20"/>
            </w:tcBorders>
          </w:tcPr>
          <w:p>
            <w:pPr>
              <w:spacing w:after="0"/>
              <w:rPr>
                <w:sz w:val="20"/>
                <w:szCs w:val="20"/>
                <w:color w:val="auto"/>
              </w:rPr>
            </w:pPr>
          </w:p>
        </w:tc>
        <w:tc>
          <w:tcPr>
            <w:tcW w:w="580" w:type="dxa"/>
            <w:vAlign w:val="bottom"/>
            <w:tcBorders>
              <w:bottom w:val="single" w:sz="8" w:color="231F20"/>
            </w:tcBorders>
          </w:tcPr>
          <w:p>
            <w:pPr>
              <w:spacing w:after="0"/>
              <w:rPr>
                <w:sz w:val="20"/>
                <w:szCs w:val="20"/>
                <w:color w:val="auto"/>
              </w:rPr>
            </w:pPr>
          </w:p>
        </w:tc>
        <w:tc>
          <w:tcPr>
            <w:tcW w:w="48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antigenic epitopes)</w:t>
            </w:r>
          </w:p>
        </w:tc>
        <w:tc>
          <w:tcPr>
            <w:tcW w:w="3280" w:type="dxa"/>
            <w:vAlign w:val="bottom"/>
            <w:tcBorders>
              <w:bottom w:val="single" w:sz="8" w:color="231F20"/>
              <w:right w:val="single" w:sz="8" w:color="231F20"/>
            </w:tcBorders>
          </w:tcPr>
          <w:p>
            <w:pPr>
              <w:spacing w:after="0"/>
              <w:rPr>
                <w:sz w:val="20"/>
                <w:szCs w:val="20"/>
                <w:color w:val="auto"/>
              </w:rPr>
            </w:pPr>
          </w:p>
        </w:tc>
      </w:tr>
      <w:tr>
        <w:trPr>
          <w:trHeight w:val="211"/>
        </w:trPr>
        <w:tc>
          <w:tcPr>
            <w:tcW w:w="2520" w:type="dxa"/>
            <w:vAlign w:val="bottom"/>
            <w:tcBorders>
              <w:left w:val="single" w:sz="8" w:color="231F20"/>
              <w:right w:val="single" w:sz="8" w:color="231F20"/>
            </w:tcBorders>
          </w:tcPr>
          <w:p>
            <w:pPr>
              <w:spacing w:after="0"/>
              <w:rPr>
                <w:sz w:val="18"/>
                <w:szCs w:val="18"/>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Steric repulsion between the PEGylated surfaces increases water</w:t>
            </w:r>
          </w:p>
        </w:tc>
        <w:tc>
          <w:tcPr>
            <w:tcW w:w="3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 Results in more stable formulation</w:t>
            </w:r>
          </w:p>
        </w:tc>
      </w:tr>
      <w:tr>
        <w:trPr>
          <w:trHeight w:val="261"/>
        </w:trPr>
        <w:tc>
          <w:tcPr>
            <w:tcW w:w="2520" w:type="dxa"/>
            <w:vAlign w:val="bottom"/>
            <w:tcBorders>
              <w:left w:val="single" w:sz="8" w:color="231F20"/>
              <w:bottom w:val="single" w:sz="8" w:color="231F20"/>
              <w:right w:val="single" w:sz="8" w:color="231F20"/>
            </w:tcBorders>
          </w:tcPr>
          <w:p>
            <w:pPr>
              <w:spacing w:after="0"/>
              <w:rPr>
                <w:sz w:val="22"/>
                <w:szCs w:val="22"/>
                <w:color w:val="auto"/>
              </w:rPr>
            </w:pPr>
          </w:p>
        </w:tc>
        <w:tc>
          <w:tcPr>
            <w:tcW w:w="580" w:type="dxa"/>
            <w:vAlign w:val="bottom"/>
            <w:tcBorders>
              <w:bottom w:val="single" w:sz="8" w:color="231F20"/>
            </w:tcBorders>
          </w:tcPr>
          <w:p>
            <w:pPr>
              <w:spacing w:after="0"/>
              <w:rPr>
                <w:sz w:val="22"/>
                <w:szCs w:val="22"/>
                <w:color w:val="auto"/>
              </w:rPr>
            </w:pPr>
          </w:p>
        </w:tc>
        <w:tc>
          <w:tcPr>
            <w:tcW w:w="48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solubility and reduces aggregates</w:t>
            </w:r>
          </w:p>
        </w:tc>
        <w:tc>
          <w:tcPr>
            <w:tcW w:w="3280" w:type="dxa"/>
            <w:vAlign w:val="bottom"/>
            <w:tcBorders>
              <w:bottom w:val="single" w:sz="8" w:color="231F20"/>
              <w:right w:val="single" w:sz="8" w:color="231F20"/>
            </w:tcBorders>
          </w:tcPr>
          <w:p>
            <w:pPr>
              <w:spacing w:after="0"/>
              <w:rPr>
                <w:sz w:val="22"/>
                <w:szCs w:val="22"/>
                <w:color w:val="auto"/>
              </w:rPr>
            </w:pPr>
          </w:p>
        </w:tc>
      </w:tr>
      <w:tr>
        <w:trPr>
          <w:trHeight w:val="210"/>
        </w:trPr>
        <w:tc>
          <w:tcPr>
            <w:tcW w:w="25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Site-Specific</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Mutation at position 173 is immediately adjacent to the primary</w:t>
            </w:r>
          </w:p>
        </w:tc>
        <w:tc>
          <w:tcPr>
            <w:tcW w:w="3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 Prolongs half-life</w:t>
            </w:r>
          </w:p>
        </w:tc>
      </w:tr>
      <w:tr>
        <w:trPr>
          <w:trHeight w:val="297"/>
        </w:trPr>
        <w:tc>
          <w:tcPr>
            <w:tcW w:w="252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Mutations</w:t>
            </w:r>
          </w:p>
        </w:tc>
        <w:tc>
          <w:tcPr>
            <w:tcW w:w="580" w:type="dxa"/>
            <w:vAlign w:val="bottom"/>
            <w:tcBorders>
              <w:bottom w:val="single" w:sz="8" w:color="231F20"/>
            </w:tcBorders>
          </w:tcPr>
          <w:p>
            <w:pPr>
              <w:spacing w:after="0"/>
              <w:rPr>
                <w:sz w:val="24"/>
                <w:szCs w:val="24"/>
                <w:color w:val="auto"/>
              </w:rPr>
            </w:pPr>
          </w:p>
        </w:tc>
        <w:tc>
          <w:tcPr>
            <w:tcW w:w="48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cleavage (FAP enzyme) site of FGF21</w:t>
            </w:r>
          </w:p>
        </w:tc>
        <w:tc>
          <w:tcPr>
            <w:tcW w:w="3280" w:type="dxa"/>
            <w:vAlign w:val="bottom"/>
            <w:tcBorders>
              <w:bottom w:val="single" w:sz="8" w:color="231F20"/>
              <w:right w:val="single" w:sz="8" w:color="231F20"/>
            </w:tcBorders>
          </w:tcPr>
          <w:p>
            <w:pPr>
              <w:spacing w:after="0"/>
              <w:rPr>
                <w:sz w:val="24"/>
                <w:szCs w:val="24"/>
                <w:color w:val="auto"/>
              </w:rPr>
            </w:pPr>
          </w:p>
        </w:tc>
      </w:tr>
      <w:tr>
        <w:trPr>
          <w:trHeight w:val="210"/>
        </w:trPr>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GlycoPEGylation</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Allows site specific linkage (glycoPEG moiety to position 173)</w:t>
            </w:r>
          </w:p>
        </w:tc>
        <w:tc>
          <w:tcPr>
            <w:tcW w:w="3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 Retains potency against receptor to</w:t>
            </w:r>
          </w:p>
        </w:tc>
      </w:tr>
      <w:tr>
        <w:trPr>
          <w:trHeight w:val="216"/>
        </w:trPr>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Proximity of the glycoPEG moiety to the C-terminus induces</w:t>
            </w:r>
          </w:p>
        </w:tc>
        <w:tc>
          <w:tcPr>
            <w:tcW w:w="3280" w:type="dxa"/>
            <w:vAlign w:val="bottom"/>
            <w:tcBorders>
              <w:right w:val="single" w:sz="8" w:color="231F20"/>
            </w:tcBorders>
          </w:tcPr>
          <w:p>
            <w:pPr>
              <w:ind w:left="580"/>
              <w:spacing w:after="0"/>
              <w:rPr>
                <w:sz w:val="20"/>
                <w:szCs w:val="20"/>
                <w:color w:val="auto"/>
              </w:rPr>
            </w:pPr>
            <w:r>
              <w:rPr>
                <w:rFonts w:ascii="Times New Roman" w:cs="Times New Roman" w:eastAsia="Times New Roman" w:hAnsi="Times New Roman"/>
                <w:sz w:val="18"/>
                <w:szCs w:val="18"/>
                <w:color w:val="auto"/>
              </w:rPr>
              <w:t>improve efficacy</w:t>
            </w:r>
          </w:p>
        </w:tc>
      </w:tr>
      <w:tr>
        <w:trPr>
          <w:trHeight w:val="230"/>
        </w:trPr>
        <w:tc>
          <w:tcPr>
            <w:tcW w:w="2520" w:type="dxa"/>
            <w:vAlign w:val="bottom"/>
          </w:tcPr>
          <w:p>
            <w:pPr>
              <w:spacing w:after="0"/>
              <w:rPr>
                <w:sz w:val="19"/>
                <w:szCs w:val="19"/>
                <w:color w:val="auto"/>
              </w:rPr>
            </w:pPr>
          </w:p>
        </w:tc>
        <w:tc>
          <w:tcPr>
            <w:tcW w:w="580" w:type="dxa"/>
            <w:vAlign w:val="bottom"/>
            <w:tcBorders>
              <w:bottom w:val="single" w:sz="8" w:color="231F20"/>
            </w:tcBorders>
          </w:tcPr>
          <w:p>
            <w:pPr>
              <w:spacing w:after="0"/>
              <w:rPr>
                <w:sz w:val="19"/>
                <w:szCs w:val="19"/>
                <w:color w:val="auto"/>
              </w:rPr>
            </w:pPr>
          </w:p>
        </w:tc>
        <w:tc>
          <w:tcPr>
            <w:tcW w:w="48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conformational changes to the molecule</w:t>
            </w:r>
          </w:p>
        </w:tc>
        <w:tc>
          <w:tcPr>
            <w:tcW w:w="3280" w:type="dxa"/>
            <w:vAlign w:val="bottom"/>
            <w:tcBorders>
              <w:bottom w:val="single" w:sz="8" w:color="231F20"/>
              <w:right w:val="single" w:sz="8" w:color="231F20"/>
            </w:tcBorders>
          </w:tcPr>
          <w:p>
            <w:pPr>
              <w:spacing w:after="0"/>
              <w:rPr>
                <w:sz w:val="19"/>
                <w:szCs w:val="19"/>
                <w:color w:val="auto"/>
              </w:rPr>
            </w:pPr>
          </w:p>
        </w:tc>
      </w:tr>
      <w:tr>
        <w:trPr>
          <w:trHeight w:val="205"/>
        </w:trPr>
        <w:tc>
          <w:tcPr>
            <w:tcW w:w="2520" w:type="dxa"/>
            <w:vAlign w:val="bottom"/>
          </w:tcPr>
          <w:p>
            <w:pPr>
              <w:spacing w:after="0"/>
              <w:rPr>
                <w:sz w:val="17"/>
                <w:szCs w:val="17"/>
                <w:color w:val="auto"/>
              </w:rPr>
            </w:pPr>
          </w:p>
        </w:tc>
        <w:tc>
          <w:tcPr>
            <w:tcW w:w="580" w:type="dxa"/>
            <w:vAlign w:val="bottom"/>
          </w:tcPr>
          <w:p>
            <w:pPr>
              <w:ind w:left="4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right w:val="single" w:sz="8" w:color="231F20"/>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Provides a strong and flexible glycosyl bond that helps the</w:t>
            </w:r>
          </w:p>
        </w:tc>
        <w:tc>
          <w:tcPr>
            <w:tcW w:w="3280" w:type="dxa"/>
            <w:vAlign w:val="bottom"/>
            <w:tcBorders>
              <w:right w:val="single" w:sz="8" w:color="231F20"/>
            </w:tcBorders>
          </w:tcPr>
          <w:p>
            <w:pPr>
              <w:ind w:left="440"/>
              <w:spacing w:after="0" w:line="205" w:lineRule="exact"/>
              <w:rPr>
                <w:sz w:val="20"/>
                <w:szCs w:val="20"/>
                <w:color w:val="auto"/>
              </w:rPr>
            </w:pPr>
            <w:r>
              <w:rPr>
                <w:rFonts w:ascii="Times New Roman" w:cs="Times New Roman" w:eastAsia="Times New Roman" w:hAnsi="Times New Roman"/>
                <w:sz w:val="18"/>
                <w:szCs w:val="18"/>
                <w:color w:val="auto"/>
              </w:rPr>
              <w:t>▪ Further enhances half-life</w:t>
            </w:r>
          </w:p>
        </w:tc>
      </w:tr>
      <w:tr>
        <w:trPr>
          <w:trHeight w:val="241"/>
        </w:trPr>
        <w:tc>
          <w:tcPr>
            <w:tcW w:w="2520" w:type="dxa"/>
            <w:vAlign w:val="bottom"/>
            <w:tcBorders>
              <w:bottom w:val="single" w:sz="8" w:color="auto"/>
            </w:tcBorders>
          </w:tcPr>
          <w:p>
            <w:pPr>
              <w:spacing w:after="0"/>
              <w:rPr>
                <w:sz w:val="20"/>
                <w:szCs w:val="20"/>
                <w:color w:val="auto"/>
              </w:rPr>
            </w:pPr>
          </w:p>
        </w:tc>
        <w:tc>
          <w:tcPr>
            <w:tcW w:w="580" w:type="dxa"/>
            <w:vAlign w:val="bottom"/>
            <w:tcBorders>
              <w:bottom w:val="single" w:sz="8" w:color="231F20"/>
            </w:tcBorders>
          </w:tcPr>
          <w:p>
            <w:pPr>
              <w:spacing w:after="0"/>
              <w:rPr>
                <w:sz w:val="20"/>
                <w:szCs w:val="20"/>
                <w:color w:val="auto"/>
              </w:rPr>
            </w:pPr>
          </w:p>
        </w:tc>
        <w:tc>
          <w:tcPr>
            <w:tcW w:w="48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glycoPEG moiety to remain intact, further reducing degradation</w:t>
            </w:r>
          </w:p>
        </w:tc>
        <w:tc>
          <w:tcPr>
            <w:tcW w:w="3280" w:type="dxa"/>
            <w:vAlign w:val="bottom"/>
            <w:tcBorders>
              <w:bottom w:val="single" w:sz="8" w:color="231F20"/>
              <w:right w:val="single" w:sz="8" w:color="231F20"/>
            </w:tcBorders>
          </w:tcPr>
          <w:p>
            <w:pPr>
              <w:spacing w:after="0"/>
              <w:rPr>
                <w:sz w:val="20"/>
                <w:szCs w:val="20"/>
                <w:color w:val="auto"/>
              </w:rPr>
            </w:pPr>
          </w:p>
        </w:tc>
      </w:tr>
      <w:tr>
        <w:trPr>
          <w:trHeight w:val="648"/>
        </w:trPr>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10</w:t>
            </w:r>
          </w:p>
        </w:tc>
        <w:tc>
          <w:tcPr>
            <w:tcW w:w="3280" w:type="dxa"/>
            <w:vAlign w:val="bottom"/>
          </w:tcPr>
          <w:p>
            <w:pPr>
              <w:spacing w:after="0"/>
              <w:rPr>
                <w:sz w:val="24"/>
                <w:szCs w:val="24"/>
                <w:color w:val="auto"/>
              </w:rPr>
            </w:pPr>
          </w:p>
        </w:tc>
      </w:tr>
      <w:tr>
        <w:trPr>
          <w:trHeight w:val="979"/>
        </w:trPr>
        <w:tc>
          <w:tcPr>
            <w:tcW w:w="2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-1795145</wp:posOffset>
            </wp:positionV>
            <wp:extent cx="34290" cy="762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7626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-1795145</wp:posOffset>
            </wp:positionV>
            <wp:extent cx="34290" cy="762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76263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 Potential of Pegozafermin Supported by Preclinical Animal Models of NASH, Diabetes and Obesity</w:t>
      </w:r>
    </w:p>
    <w:p>
      <w:pPr>
        <w:spacing w:after="0" w:line="1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Pegozafermin has been evaluated in three animal models of direct relevance to NASH. These included: (1) Stelic Animal Model, (2) Diet-induced NASH (“DIN”) model and (3) spontaneous diabetic obese cynomolgus monkey model. Additional studies done in diabetes mouse model and diet induced obesity mouse model showed benefits in key markers of relevance in NASH.</w:t>
      </w:r>
    </w:p>
    <w:p>
      <w:pPr>
        <w:spacing w:after="0" w:line="12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wide range of doses were tested in these studies as well as weekly and once every-two-week dosing regimen was tested in a cynomolgus monkey study. The key outcomes of these studies are summarized in Figure 3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3: Summary of NASH Pharmacology Studies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500" w:type="dxa"/>
            <w:vAlign w:val="bottom"/>
            <w:tcBorders>
              <w:top w:val="single" w:sz="8" w:color="231F20"/>
              <w:left w:val="single" w:sz="8" w:color="231F20"/>
              <w:right w:val="single" w:sz="8" w:color="231F20"/>
            </w:tcBorders>
            <w:shd w:val="clear" w:color="auto" w:fill="3297D3"/>
          </w:tcPr>
          <w:p>
            <w:pPr>
              <w:spacing w:after="0"/>
              <w:rPr>
                <w:sz w:val="19"/>
                <w:szCs w:val="19"/>
                <w:color w:val="auto"/>
              </w:rPr>
            </w:pPr>
          </w:p>
        </w:tc>
        <w:tc>
          <w:tcPr>
            <w:tcW w:w="1220" w:type="dxa"/>
            <w:vAlign w:val="bottom"/>
            <w:tcBorders>
              <w:top w:val="single" w:sz="8" w:color="231F20"/>
            </w:tcBorders>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Improved</w:t>
            </w:r>
          </w:p>
        </w:tc>
        <w:tc>
          <w:tcPr>
            <w:tcW w:w="1780" w:type="dxa"/>
            <w:vAlign w:val="bottom"/>
            <w:tcBorders>
              <w:top w:val="single" w:sz="8" w:color="231F20"/>
            </w:tcBorders>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Improved</w:t>
            </w:r>
          </w:p>
        </w:tc>
        <w:tc>
          <w:tcPr>
            <w:tcW w:w="1280" w:type="dxa"/>
            <w:vAlign w:val="bottom"/>
            <w:tcBorders>
              <w:top w:val="single" w:sz="8" w:color="231F20"/>
            </w:tcBorders>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rPr>
              <w:t>Reduced</w:t>
            </w:r>
          </w:p>
        </w:tc>
        <w:tc>
          <w:tcPr>
            <w:tcW w:w="2180" w:type="dxa"/>
            <w:vAlign w:val="bottom"/>
            <w:tcBorders>
              <w:top w:val="single" w:sz="8" w:color="231F20"/>
            </w:tcBorders>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rPr>
              <w:t>Reduced Liver</w:t>
            </w:r>
          </w:p>
        </w:tc>
        <w:tc>
          <w:tcPr>
            <w:tcW w:w="1280" w:type="dxa"/>
            <w:vAlign w:val="bottom"/>
            <w:tcBorders>
              <w:top w:val="single" w:sz="8" w:color="231F20"/>
            </w:tcBorders>
            <w:vMerge w:val="restart"/>
            <w:shd w:val="clear" w:color="auto" w:fill="3297D3"/>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Body</w:t>
            </w:r>
          </w:p>
        </w:tc>
        <w:tc>
          <w:tcPr>
            <w:tcW w:w="0" w:type="dxa"/>
            <w:vAlign w:val="bottom"/>
          </w:tcPr>
          <w:p>
            <w:pPr>
              <w:spacing w:after="0"/>
              <w:rPr>
                <w:sz w:val="1"/>
                <w:szCs w:val="1"/>
                <w:color w:val="auto"/>
              </w:rPr>
            </w:pPr>
          </w:p>
        </w:tc>
      </w:tr>
      <w:tr>
        <w:trPr>
          <w:trHeight w:val="108"/>
        </w:trPr>
        <w:tc>
          <w:tcPr>
            <w:tcW w:w="3500" w:type="dxa"/>
            <w:vAlign w:val="bottom"/>
            <w:tcBorders>
              <w:left w:val="single" w:sz="8" w:color="231F20"/>
              <w:right w:val="single" w:sz="8" w:color="231F20"/>
            </w:tcBorders>
            <w:vMerge w:val="restart"/>
            <w:shd w:val="clear" w:color="auto" w:fill="3297D3"/>
          </w:tcPr>
          <w:p>
            <w:pPr>
              <w:ind w:left="360"/>
              <w:spacing w:after="0"/>
              <w:rPr>
                <w:sz w:val="20"/>
                <w:szCs w:val="20"/>
                <w:color w:val="auto"/>
              </w:rPr>
            </w:pPr>
            <w:r>
              <w:rPr>
                <w:rFonts w:ascii="Times New Roman" w:cs="Times New Roman" w:eastAsia="Times New Roman" w:hAnsi="Times New Roman"/>
                <w:sz w:val="18"/>
                <w:szCs w:val="18"/>
                <w:b w:val="1"/>
                <w:bCs w:val="1"/>
                <w:color w:val="FFFFFF"/>
              </w:rPr>
              <w:t>Preclinical pharmacology study with</w:t>
            </w:r>
          </w:p>
        </w:tc>
        <w:tc>
          <w:tcPr>
            <w:tcW w:w="1220" w:type="dxa"/>
            <w:vAlign w:val="bottom"/>
            <w:vMerge w:val="continue"/>
            <w:shd w:val="clear" w:color="auto" w:fill="3297D3"/>
          </w:tcPr>
          <w:p>
            <w:pPr>
              <w:spacing w:after="0"/>
              <w:rPr>
                <w:sz w:val="9"/>
                <w:szCs w:val="9"/>
                <w:color w:val="auto"/>
              </w:rPr>
            </w:pPr>
          </w:p>
        </w:tc>
        <w:tc>
          <w:tcPr>
            <w:tcW w:w="1780" w:type="dxa"/>
            <w:vAlign w:val="bottom"/>
            <w:vMerge w:val="continue"/>
            <w:shd w:val="clear" w:color="auto" w:fill="3297D3"/>
          </w:tcPr>
          <w:p>
            <w:pPr>
              <w:spacing w:after="0"/>
              <w:rPr>
                <w:sz w:val="9"/>
                <w:szCs w:val="9"/>
                <w:color w:val="auto"/>
              </w:rPr>
            </w:pPr>
          </w:p>
        </w:tc>
        <w:tc>
          <w:tcPr>
            <w:tcW w:w="1280" w:type="dxa"/>
            <w:vAlign w:val="bottom"/>
            <w:vMerge w:val="continue"/>
            <w:shd w:val="clear" w:color="auto" w:fill="3297D3"/>
          </w:tcPr>
          <w:p>
            <w:pPr>
              <w:spacing w:after="0"/>
              <w:rPr>
                <w:sz w:val="9"/>
                <w:szCs w:val="9"/>
                <w:color w:val="auto"/>
              </w:rPr>
            </w:pPr>
          </w:p>
        </w:tc>
        <w:tc>
          <w:tcPr>
            <w:tcW w:w="21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Steatosis, Inflammation</w:t>
            </w:r>
          </w:p>
        </w:tc>
        <w:tc>
          <w:tcPr>
            <w:tcW w:w="1280" w:type="dxa"/>
            <w:vAlign w:val="bottom"/>
            <w:vMerge w:val="continue"/>
            <w:shd w:val="clear" w:color="auto" w:fill="3297D3"/>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00" w:type="dxa"/>
            <w:vAlign w:val="bottom"/>
            <w:tcBorders>
              <w:left w:val="single" w:sz="8" w:color="231F20"/>
              <w:right w:val="single" w:sz="8" w:color="231F20"/>
            </w:tcBorders>
            <w:vMerge w:val="continue"/>
            <w:shd w:val="clear" w:color="auto" w:fill="3297D3"/>
          </w:tcPr>
          <w:p>
            <w:pPr>
              <w:spacing w:after="0"/>
              <w:rPr>
                <w:sz w:val="9"/>
                <w:szCs w:val="9"/>
                <w:color w:val="auto"/>
              </w:rPr>
            </w:pPr>
          </w:p>
        </w:tc>
        <w:tc>
          <w:tcPr>
            <w:tcW w:w="122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Insulin</w:t>
            </w:r>
          </w:p>
        </w:tc>
        <w:tc>
          <w:tcPr>
            <w:tcW w:w="17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Triglycerides and</w:t>
            </w:r>
          </w:p>
        </w:tc>
        <w:tc>
          <w:tcPr>
            <w:tcW w:w="12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rPr>
              <w:t>Hepatocyte</w:t>
            </w:r>
          </w:p>
        </w:tc>
        <w:tc>
          <w:tcPr>
            <w:tcW w:w="2180" w:type="dxa"/>
            <w:vAlign w:val="bottom"/>
            <w:vMerge w:val="continue"/>
            <w:shd w:val="clear" w:color="auto" w:fill="3297D3"/>
          </w:tcPr>
          <w:p>
            <w:pPr>
              <w:spacing w:after="0"/>
              <w:rPr>
                <w:sz w:val="9"/>
                <w:szCs w:val="9"/>
                <w:color w:val="auto"/>
              </w:rPr>
            </w:pPr>
          </w:p>
        </w:tc>
        <w:tc>
          <w:tcPr>
            <w:tcW w:w="1280" w:type="dxa"/>
            <w:vAlign w:val="bottom"/>
            <w:vMerge w:val="restart"/>
            <w:shd w:val="clear" w:color="auto" w:fill="3297D3"/>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Weight</w:t>
            </w:r>
          </w:p>
        </w:tc>
        <w:tc>
          <w:tcPr>
            <w:tcW w:w="0" w:type="dxa"/>
            <w:vAlign w:val="bottom"/>
          </w:tcPr>
          <w:p>
            <w:pPr>
              <w:spacing w:after="0"/>
              <w:rPr>
                <w:sz w:val="1"/>
                <w:szCs w:val="1"/>
                <w:color w:val="auto"/>
              </w:rPr>
            </w:pPr>
          </w:p>
        </w:tc>
      </w:tr>
      <w:tr>
        <w:trPr>
          <w:trHeight w:val="108"/>
        </w:trPr>
        <w:tc>
          <w:tcPr>
            <w:tcW w:w="3500" w:type="dxa"/>
            <w:vAlign w:val="bottom"/>
            <w:tcBorders>
              <w:left w:val="single" w:sz="8" w:color="231F20"/>
              <w:right w:val="single" w:sz="8" w:color="231F20"/>
            </w:tcBorders>
            <w:vMerge w:val="restart"/>
            <w:shd w:val="clear" w:color="auto" w:fill="3297D3"/>
          </w:tcPr>
          <w:p>
            <w:pPr>
              <w:ind w:left="1240"/>
              <w:spacing w:after="0"/>
              <w:rPr>
                <w:sz w:val="20"/>
                <w:szCs w:val="20"/>
                <w:color w:val="auto"/>
              </w:rPr>
            </w:pPr>
            <w:r>
              <w:rPr>
                <w:rFonts w:ascii="Times New Roman" w:cs="Times New Roman" w:eastAsia="Times New Roman" w:hAnsi="Times New Roman"/>
                <w:sz w:val="18"/>
                <w:szCs w:val="18"/>
                <w:b w:val="1"/>
                <w:bCs w:val="1"/>
                <w:color w:val="FFFFFF"/>
              </w:rPr>
              <w:t>pegozafermin</w:t>
            </w:r>
          </w:p>
        </w:tc>
        <w:tc>
          <w:tcPr>
            <w:tcW w:w="1220" w:type="dxa"/>
            <w:vAlign w:val="bottom"/>
            <w:vMerge w:val="continue"/>
            <w:shd w:val="clear" w:color="auto" w:fill="3297D3"/>
          </w:tcPr>
          <w:p>
            <w:pPr>
              <w:spacing w:after="0"/>
              <w:rPr>
                <w:sz w:val="9"/>
                <w:szCs w:val="9"/>
                <w:color w:val="auto"/>
              </w:rPr>
            </w:pPr>
          </w:p>
        </w:tc>
        <w:tc>
          <w:tcPr>
            <w:tcW w:w="1780" w:type="dxa"/>
            <w:vAlign w:val="bottom"/>
            <w:vMerge w:val="continue"/>
            <w:shd w:val="clear" w:color="auto" w:fill="3297D3"/>
          </w:tcPr>
          <w:p>
            <w:pPr>
              <w:spacing w:after="0"/>
              <w:rPr>
                <w:sz w:val="9"/>
                <w:szCs w:val="9"/>
                <w:color w:val="auto"/>
              </w:rPr>
            </w:pPr>
          </w:p>
        </w:tc>
        <w:tc>
          <w:tcPr>
            <w:tcW w:w="1280" w:type="dxa"/>
            <w:vAlign w:val="bottom"/>
            <w:vMerge w:val="continue"/>
            <w:shd w:val="clear" w:color="auto" w:fill="3297D3"/>
          </w:tcPr>
          <w:p>
            <w:pPr>
              <w:spacing w:after="0"/>
              <w:rPr>
                <w:sz w:val="9"/>
                <w:szCs w:val="9"/>
                <w:color w:val="auto"/>
              </w:rPr>
            </w:pPr>
          </w:p>
        </w:tc>
        <w:tc>
          <w:tcPr>
            <w:tcW w:w="21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rPr>
              <w:t>&amp;</w:t>
            </w:r>
          </w:p>
        </w:tc>
        <w:tc>
          <w:tcPr>
            <w:tcW w:w="1280" w:type="dxa"/>
            <w:vAlign w:val="bottom"/>
            <w:vMerge w:val="continue"/>
            <w:shd w:val="clear" w:color="auto" w:fill="3297D3"/>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00" w:type="dxa"/>
            <w:vAlign w:val="bottom"/>
            <w:tcBorders>
              <w:left w:val="single" w:sz="8" w:color="231F20"/>
              <w:right w:val="single" w:sz="8" w:color="231F20"/>
            </w:tcBorders>
            <w:vMerge w:val="continue"/>
            <w:shd w:val="clear" w:color="auto" w:fill="3297D3"/>
          </w:tcPr>
          <w:p>
            <w:pPr>
              <w:spacing w:after="0"/>
              <w:rPr>
                <w:sz w:val="9"/>
                <w:szCs w:val="9"/>
                <w:color w:val="auto"/>
              </w:rPr>
            </w:pPr>
          </w:p>
        </w:tc>
        <w:tc>
          <w:tcPr>
            <w:tcW w:w="122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Sensitivity</w:t>
            </w:r>
          </w:p>
        </w:tc>
        <w:tc>
          <w:tcPr>
            <w:tcW w:w="17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Cholesterol</w:t>
            </w:r>
          </w:p>
        </w:tc>
        <w:tc>
          <w:tcPr>
            <w:tcW w:w="12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Injury</w:t>
            </w:r>
          </w:p>
        </w:tc>
        <w:tc>
          <w:tcPr>
            <w:tcW w:w="2180" w:type="dxa"/>
            <w:vAlign w:val="bottom"/>
            <w:vMerge w:val="continue"/>
            <w:shd w:val="clear" w:color="auto" w:fill="3297D3"/>
          </w:tcPr>
          <w:p>
            <w:pPr>
              <w:spacing w:after="0"/>
              <w:rPr>
                <w:sz w:val="9"/>
                <w:szCs w:val="9"/>
                <w:color w:val="auto"/>
              </w:rPr>
            </w:pPr>
          </w:p>
        </w:tc>
        <w:tc>
          <w:tcPr>
            <w:tcW w:w="1280" w:type="dxa"/>
            <w:vAlign w:val="bottom"/>
            <w:vMerge w:val="restart"/>
            <w:shd w:val="clear" w:color="auto" w:fill="3297D3"/>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Reduction</w:t>
            </w:r>
          </w:p>
        </w:tc>
        <w:tc>
          <w:tcPr>
            <w:tcW w:w="0" w:type="dxa"/>
            <w:vAlign w:val="bottom"/>
          </w:tcPr>
          <w:p>
            <w:pPr>
              <w:spacing w:after="0"/>
              <w:rPr>
                <w:sz w:val="1"/>
                <w:szCs w:val="1"/>
                <w:color w:val="auto"/>
              </w:rPr>
            </w:pPr>
          </w:p>
        </w:tc>
      </w:tr>
      <w:tr>
        <w:trPr>
          <w:trHeight w:val="130"/>
        </w:trPr>
        <w:tc>
          <w:tcPr>
            <w:tcW w:w="3500" w:type="dxa"/>
            <w:vAlign w:val="bottom"/>
            <w:tcBorders>
              <w:left w:val="single" w:sz="8" w:color="231F20"/>
              <w:right w:val="single" w:sz="8" w:color="231F20"/>
            </w:tcBorders>
            <w:shd w:val="clear" w:color="auto" w:fill="3297D3"/>
          </w:tcPr>
          <w:p>
            <w:pPr>
              <w:spacing w:after="0"/>
              <w:rPr>
                <w:sz w:val="11"/>
                <w:szCs w:val="11"/>
                <w:color w:val="auto"/>
              </w:rPr>
            </w:pPr>
          </w:p>
        </w:tc>
        <w:tc>
          <w:tcPr>
            <w:tcW w:w="1220" w:type="dxa"/>
            <w:vAlign w:val="bottom"/>
            <w:vMerge w:val="continue"/>
            <w:shd w:val="clear" w:color="auto" w:fill="3297D3"/>
          </w:tcPr>
          <w:p>
            <w:pPr>
              <w:spacing w:after="0"/>
              <w:rPr>
                <w:sz w:val="11"/>
                <w:szCs w:val="11"/>
                <w:color w:val="auto"/>
              </w:rPr>
            </w:pPr>
          </w:p>
        </w:tc>
        <w:tc>
          <w:tcPr>
            <w:tcW w:w="1780" w:type="dxa"/>
            <w:vAlign w:val="bottom"/>
            <w:vMerge w:val="continue"/>
            <w:shd w:val="clear" w:color="auto" w:fill="3297D3"/>
          </w:tcPr>
          <w:p>
            <w:pPr>
              <w:spacing w:after="0"/>
              <w:rPr>
                <w:sz w:val="11"/>
                <w:szCs w:val="11"/>
                <w:color w:val="auto"/>
              </w:rPr>
            </w:pPr>
          </w:p>
        </w:tc>
        <w:tc>
          <w:tcPr>
            <w:tcW w:w="1280" w:type="dxa"/>
            <w:vAlign w:val="bottom"/>
            <w:vMerge w:val="continue"/>
            <w:shd w:val="clear" w:color="auto" w:fill="3297D3"/>
          </w:tcPr>
          <w:p>
            <w:pPr>
              <w:spacing w:after="0"/>
              <w:rPr>
                <w:sz w:val="11"/>
                <w:szCs w:val="11"/>
                <w:color w:val="auto"/>
              </w:rPr>
            </w:pPr>
          </w:p>
        </w:tc>
        <w:tc>
          <w:tcPr>
            <w:tcW w:w="2180" w:type="dxa"/>
            <w:vAlign w:val="bottom"/>
            <w:vMerge w:val="restart"/>
            <w:shd w:val="clear" w:color="auto" w:fill="3297D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Fibrosis</w:t>
            </w:r>
          </w:p>
        </w:tc>
        <w:tc>
          <w:tcPr>
            <w:tcW w:w="1280" w:type="dxa"/>
            <w:vAlign w:val="bottom"/>
            <w:vMerge w:val="continue"/>
            <w:shd w:val="clear" w:color="auto" w:fill="3297D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Borders>
              <w:left w:val="single" w:sz="8" w:color="231F20"/>
              <w:bottom w:val="single" w:sz="8" w:color="231F20"/>
              <w:right w:val="single" w:sz="8" w:color="231F20"/>
            </w:tcBorders>
            <w:shd w:val="clear" w:color="auto" w:fill="3297D3"/>
          </w:tcPr>
          <w:p>
            <w:pPr>
              <w:spacing w:after="0"/>
              <w:rPr>
                <w:sz w:val="11"/>
                <w:szCs w:val="11"/>
                <w:color w:val="auto"/>
              </w:rPr>
            </w:pPr>
          </w:p>
        </w:tc>
        <w:tc>
          <w:tcPr>
            <w:tcW w:w="1220" w:type="dxa"/>
            <w:vAlign w:val="bottom"/>
            <w:tcBorders>
              <w:bottom w:val="single" w:sz="8" w:color="231F20"/>
            </w:tcBorders>
            <w:shd w:val="clear" w:color="auto" w:fill="3297D3"/>
          </w:tcPr>
          <w:p>
            <w:pPr>
              <w:spacing w:after="0"/>
              <w:rPr>
                <w:sz w:val="11"/>
                <w:szCs w:val="11"/>
                <w:color w:val="auto"/>
              </w:rPr>
            </w:pPr>
          </w:p>
        </w:tc>
        <w:tc>
          <w:tcPr>
            <w:tcW w:w="1780" w:type="dxa"/>
            <w:vAlign w:val="bottom"/>
            <w:tcBorders>
              <w:bottom w:val="single" w:sz="8" w:color="231F20"/>
            </w:tcBorders>
            <w:shd w:val="clear" w:color="auto" w:fill="3297D3"/>
          </w:tcPr>
          <w:p>
            <w:pPr>
              <w:spacing w:after="0"/>
              <w:rPr>
                <w:sz w:val="11"/>
                <w:szCs w:val="11"/>
                <w:color w:val="auto"/>
              </w:rPr>
            </w:pPr>
          </w:p>
        </w:tc>
        <w:tc>
          <w:tcPr>
            <w:tcW w:w="1280" w:type="dxa"/>
            <w:vAlign w:val="bottom"/>
            <w:tcBorders>
              <w:bottom w:val="single" w:sz="8" w:color="231F20"/>
            </w:tcBorders>
            <w:shd w:val="clear" w:color="auto" w:fill="3297D3"/>
          </w:tcPr>
          <w:p>
            <w:pPr>
              <w:spacing w:after="0"/>
              <w:rPr>
                <w:sz w:val="11"/>
                <w:szCs w:val="11"/>
                <w:color w:val="auto"/>
              </w:rPr>
            </w:pPr>
          </w:p>
        </w:tc>
        <w:tc>
          <w:tcPr>
            <w:tcW w:w="2180" w:type="dxa"/>
            <w:vAlign w:val="bottom"/>
            <w:tcBorders>
              <w:bottom w:val="single" w:sz="8" w:color="231F20"/>
            </w:tcBorders>
            <w:vMerge w:val="continue"/>
            <w:shd w:val="clear" w:color="auto" w:fill="3297D3"/>
          </w:tcPr>
          <w:p>
            <w:pPr>
              <w:spacing w:after="0"/>
              <w:rPr>
                <w:sz w:val="11"/>
                <w:szCs w:val="11"/>
                <w:color w:val="auto"/>
              </w:rPr>
            </w:pPr>
          </w:p>
        </w:tc>
        <w:tc>
          <w:tcPr>
            <w:tcW w:w="1280" w:type="dxa"/>
            <w:vAlign w:val="bottom"/>
            <w:tcBorders>
              <w:bottom w:val="single" w:sz="8" w:color="231F20"/>
            </w:tcBorders>
            <w:shd w:val="clear" w:color="auto" w:fill="3297D3"/>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35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DIN mouse model I (10 weeks)</w:t>
            </w:r>
          </w:p>
        </w:tc>
        <w:tc>
          <w:tcPr>
            <w:tcW w:w="122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8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Borders>
              <w:bottom w:val="single" w:sz="8" w:color="231F20"/>
            </w:tcBorders>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4"/>
        </w:trPr>
        <w:tc>
          <w:tcPr>
            <w:tcW w:w="35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DIN mouse model II (19 weeks)</w:t>
            </w:r>
          </w:p>
        </w:tc>
        <w:tc>
          <w:tcPr>
            <w:tcW w:w="122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8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tcBorders>
              <w:bottom w:val="single" w:sz="8" w:color="231F20"/>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Borders>
              <w:bottom w:val="single" w:sz="8" w:color="231F20"/>
            </w:tcBorders>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9"/>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Diabetic obese cynomolgus monkey study 1 (8</w:t>
            </w:r>
          </w:p>
        </w:tc>
        <w:tc>
          <w:tcPr>
            <w:tcW w:w="12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Not evaluated</w:t>
            </w:r>
          </w:p>
        </w:tc>
        <w:tc>
          <w:tcPr>
            <w:tcW w:w="1280" w:type="dxa"/>
            <w:vAlign w:val="bottom"/>
            <w:vMerge w:val="restart"/>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weeks; weekly dosing)</w:t>
            </w:r>
          </w:p>
        </w:tc>
        <w:tc>
          <w:tcPr>
            <w:tcW w:w="12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5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3500" w:type="dxa"/>
            <w:vAlign w:val="bottom"/>
            <w:tcBorders>
              <w:bottom w:val="single" w:sz="8" w:color="231F20"/>
            </w:tcBorders>
          </w:tcPr>
          <w:p>
            <w:pPr>
              <w:spacing w:after="0"/>
              <w:rPr>
                <w:sz w:val="3"/>
                <w:szCs w:val="3"/>
                <w:color w:val="auto"/>
              </w:rPr>
            </w:pPr>
          </w:p>
        </w:tc>
        <w:tc>
          <w:tcPr>
            <w:tcW w:w="1220" w:type="dxa"/>
            <w:vAlign w:val="bottom"/>
            <w:tcBorders>
              <w:bottom w:val="single" w:sz="8" w:color="231F20"/>
            </w:tcBorders>
          </w:tcPr>
          <w:p>
            <w:pPr>
              <w:spacing w:after="0"/>
              <w:rPr>
                <w:sz w:val="3"/>
                <w:szCs w:val="3"/>
                <w:color w:val="auto"/>
              </w:rPr>
            </w:pPr>
          </w:p>
        </w:tc>
        <w:tc>
          <w:tcPr>
            <w:tcW w:w="1780" w:type="dxa"/>
            <w:vAlign w:val="bottom"/>
            <w:tcBorders>
              <w:bottom w:val="single" w:sz="8" w:color="231F20"/>
            </w:tcBorders>
          </w:tcPr>
          <w:p>
            <w:pPr>
              <w:spacing w:after="0"/>
              <w:rPr>
                <w:sz w:val="3"/>
                <w:szCs w:val="3"/>
                <w:color w:val="auto"/>
              </w:rPr>
            </w:pPr>
          </w:p>
        </w:tc>
        <w:tc>
          <w:tcPr>
            <w:tcW w:w="1280" w:type="dxa"/>
            <w:vAlign w:val="bottom"/>
            <w:tcBorders>
              <w:bottom w:val="single" w:sz="8" w:color="231F20"/>
            </w:tcBorders>
          </w:tcPr>
          <w:p>
            <w:pPr>
              <w:spacing w:after="0"/>
              <w:rPr>
                <w:sz w:val="3"/>
                <w:szCs w:val="3"/>
                <w:color w:val="auto"/>
              </w:rPr>
            </w:pPr>
          </w:p>
        </w:tc>
        <w:tc>
          <w:tcPr>
            <w:tcW w:w="2180" w:type="dxa"/>
            <w:vAlign w:val="bottom"/>
            <w:tcBorders>
              <w:bottom w:val="single" w:sz="8" w:color="231F20"/>
            </w:tcBorders>
          </w:tcPr>
          <w:p>
            <w:pPr>
              <w:spacing w:after="0"/>
              <w:rPr>
                <w:sz w:val="3"/>
                <w:szCs w:val="3"/>
                <w:color w:val="auto"/>
              </w:rPr>
            </w:pPr>
          </w:p>
        </w:tc>
        <w:tc>
          <w:tcPr>
            <w:tcW w:w="128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Diabetic obese cynomolgus monkey study 2 (4</w:t>
            </w:r>
          </w:p>
        </w:tc>
        <w:tc>
          <w:tcPr>
            <w:tcW w:w="12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Not evaluated</w:t>
            </w:r>
          </w:p>
        </w:tc>
        <w:tc>
          <w:tcPr>
            <w:tcW w:w="1280" w:type="dxa"/>
            <w:vAlign w:val="bottom"/>
            <w:vMerge w:val="restart"/>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4"/>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weeks; QW or Q2W dosing)</w:t>
            </w:r>
          </w:p>
        </w:tc>
        <w:tc>
          <w:tcPr>
            <w:tcW w:w="12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5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680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pacing w:after="0" w:line="16" w:lineRule="exact"/>
        <w:rPr>
          <w:sz w:val="20"/>
          <w:szCs w:val="20"/>
          <w:color w:val="auto"/>
        </w:rPr>
      </w:pPr>
    </w:p>
    <w:p>
      <w:pPr>
        <w:ind w:left="1020" w:hanging="503"/>
        <w:spacing w:after="0"/>
        <w:tabs>
          <w:tab w:leader="none" w:pos="1020" w:val="left"/>
        </w:tabs>
        <w:numPr>
          <w:ilvl w:val="0"/>
          <w:numId w:val="6"/>
        </w:numPr>
        <w:rPr>
          <w:rFonts w:ascii="MS PGothic" w:cs="MS PGothic" w:eastAsia="MS PGothic" w:hAnsi="MS PGothic"/>
          <w:sz w:val="18"/>
          <w:szCs w:val="18"/>
          <w:color w:val="231F20"/>
        </w:rPr>
      </w:pPr>
      <w:r>
        <w:rPr>
          <w:rFonts w:ascii="Times New Roman" w:cs="Times New Roman" w:eastAsia="Times New Roman" w:hAnsi="Times New Roman"/>
          <w:sz w:val="18"/>
          <w:szCs w:val="18"/>
          <w:color w:val="auto"/>
        </w:rPr>
        <w:t>Statistically significant benefit observed.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Pegozafermin Clinical Development in NASH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1a Clinical Trial of Single-Dose of Pegozafermin in Healthy Volunteers</w:t>
      </w:r>
    </w:p>
    <w:p>
      <w:pPr>
        <w:spacing w:after="0" w:line="1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conducted a Phase 1a clinical trial to evaluate the safety, tolerability and pharmacokinetics (“PK”) of pegozafermin in 58 healthy volunteers. In this randomized, double-blind, placebo-controlled, Phase 1a, first-in-human, SAD clinical trial the PK profile of pegozafermin was generally dose-proportional or slightly more than dose-proportional with a half-life of approximately 55 to 100 hours. At single doses of 9.1 mg and higher, significant improvements were observed in key lipid parameters measured at Day 8 and Day 15 after dosing on Day 1. Pegozafermin was well tolerated across the dose range and there were no deaths, serious adverse events or discontinuations due to adverse events. The most commonly observed treatment-related adverse events, occurring in at least two subjects in the pooled pegozafermin group, were injection site reactions and headache, all of which were reported as mild. No clinically meaningful trends were observed in gastrointestinal events, laboratories or vital signs including blood pressure or heart rate changes.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1b/2a Proof of Concept Clinical Trial in NASH Patients</w:t>
      </w:r>
    </w:p>
    <w:p>
      <w:pPr>
        <w:spacing w:after="0" w:line="1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2020 and 2022, we presented positive topline results from cohorts 1 to 6 and cohort 7, respectively, in our Phase 1b/2a trial in NASH patients which has informed the advancement of our clinical strategy in NASH. The Phase 1b/2a trial for cohorts 1 to 6 was multicenter, randomized, double-blind, placebo-controlled, multiple ascending dose-ranging and enrolled a total of 81 patients to receive weekly (3 mg/9 mg/18 mg/27 mg) or every-two-week (18 mg/36 mg) dosing of pegozafermin or placebo for up to 12 weeks. Key endpoints assessed were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tolerability, and PK of pegozafermin as well as change in liver fat measured by MRI-PDFF and other metabolic markers.</w:t>
      </w:r>
    </w:p>
    <w:p>
      <w:pPr>
        <w:spacing w:after="0" w:line="1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dose groups achieved statistically significant reductions in liver fat, with relative reductions of up to 60% versus baseline and up to 70% versus placebo. For the 27mg weekly and 36mg every-two-week dose, the proportion of patients with greater than or equal to 30% relative reduction in liver fat was 86% and 88%, respectively. Pegozafermin was well tolerated at all doses with low incidence of adverse events that occurred in greater than or equal to 10% of subjects and very low frequency of gastrointestinal events relative to placebo.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Paired-biopsy, Open-label Histology Cohort (Cohort 7)</w:t>
      </w:r>
    </w:p>
    <w:p>
      <w:pPr>
        <w:spacing w:after="0" w:line="1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Cohort 7 in the Phase 1b/2a trial was a single-arm cohort that enrolled 20 patients with biopsy-confirmed fibrosis stage F2 and F3 NASH who were treated once weekly for 20 weeks with 27 mg of pegozafermin. 19 of 20 patients received an end of treatment biopsy and one patient withdrew consent. A greater than or equal to 2-point improvement in NAS (with 1-point from either ballooning or inflammation) and no worsening of fibrosis was the nominal primary endpoint. Key secondary endpoints included response rates on NASH resolution without worsening of fibrosis, improvement in at least one stage of fibrosis without worsening NAS and safety/tolerability. Patients had a mean BMI of 37 and type 2 diabetes was prevalent in most patients. 65% had fibrosis stage F3 NASH and 35% had fibrosis stage F2 NASH. The baseline values for VCTE, ProC3, and transaminases were consistent with a more advanced population.</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Data from an analysis of histology slides by a panel of three expert liver pathologists resulted in a wide range of response rates, with rates of NASH resolution without worsening of fibrosis up to 47% (range: 26%-47%) and rates of ≥ 1-stage improvement in fibrosis without worsening of NASH up to 42% (range: 12%-42%). This three-reader panel scored six of the nineteen patients as having F4 fibrosis at baseline (putative F4), which was an exclusion criterion for the Phase 1b/2a trial. Excluding the putative F4 patients (n=6) resulted in a higher proportion of patients meeting the registration enabling histological endpoints compared to the primary analysis based on the single central reader.</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Pegozafermin also demonstrated beneficial effects in the subset of patients with F4 stage fibrosis as shown in Figure 4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4: Pegozafermin Effects in Fibrosis and Non-Invasive Test (NITs) in Stage F4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173990</wp:posOffset>
            </wp:positionV>
            <wp:extent cx="4260215" cy="2005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021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2b (ENLIVEN) Trial in Fibrosis Stage 2 or 3 NASH Patients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ENLIVEN was a multicenter, randomized, double-blind, placebo-controlled Phase 2b trial in biopsy-confirmed NASH patients with fibrosis stage 2 or 3 and NAS ≥ 4. The trial enrolled a total of 219 patients who receive either a weekly dose (15 mg or 30 mg) or an every-two-week dose (44 mg) of pegozafermin in a liquid formulation or placebo for 24 weeks with a randomization schema of 4: 4: 2.5: 1 (placebo: 30 mg QW: 44 mg Q2W: 15 mg QW). All patients continued treatment in a blinded extension phase for 24 weeks for a total treatment period of 48 weeks, with some of the placebo patients re-randomized to receive pegozafermin in the extension phase. The primary analysis evaluated the effect of pegozafermin on the two FDA approvable histology endpoints, 1-point fibrosis improvement with no worsening of NASH and NASH resolution with no worsening of fibrosis, and included F2/F3 patients who met histologic entry criteria and NAS ≥ 4 based on the three-panel consensus read of biopsies at baseline to ensure consistency between baseline and end of treatment biopsy reading methods. This three-panel consensus read was instituted after receipt of data from the expansion cohort of the Phase 1b/2a trial (cohort 7) to address biopsy reading variability and increase the likelihood of showing the true benefit of pegozafermin while maintaining adequate study power. Prior to this change, biopsy entry criteria for ENLIVEN was based on a single reader.</w:t>
      </w:r>
    </w:p>
    <w:p>
      <w:pPr>
        <w:spacing w:after="0" w:line="14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reported topline data from ENLIVEN in March 2023. The 44 mg every-two-week and the 30 mg weekly dose groups both met, with high statistical significance, both of the primary histology endpoints per FDA guidance on endpoints for accelerated approval in non-cirrhotic NASH patients. The 44 mg every-two-week and the 30 mg weekly dose groups both demonstrated at least one-stage fibrosis improvement without worsening of NASH (27% and 26%, respectively) at 3.5 times the placebo rate (7%), as reflected in Figure 5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5: Fibrosis Improvement Without Worsening of NASH at Week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225425</wp:posOffset>
            </wp:positionV>
            <wp:extent cx="5031740" cy="2254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317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8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seen in Figure 6 below, the 44 mg every-two-week and the 30 mg weekly dose groups both demonstrated NASH resolution without worsening of fibrosis of 26% and 23%, respectively, which is between 12 to 14 times the placebo rate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6: NASH Resolution Without Worsening of Fibrosis at Week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225425</wp:posOffset>
            </wp:positionV>
            <wp:extent cx="4509135" cy="2280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91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dose groups also demonstrated statistically significant and clinically meaningful improvements in liver fat, non-invasive markers of liver fibrosis and inflammation as well as meaningful improvements in other metabolic and lipid markers. Pegozafermin was generally well tolerated with a favorable safety profile consistent with prior studies. Across dose groups, the most common adverse events (AEs) were Grade 1 or 2 gastrointestinal events (diarrhea, nausea and increased appetite), most of which were mild to moderate in nature. No clinically relevant or statistically significant effects on DEXA scans, bone biomarkers or vital signs were noted. No drug-induced liver injury, tremor or hypersensitivity reactions were reported.</w:t>
      </w:r>
    </w:p>
    <w:p>
      <w:pPr>
        <w:spacing w:after="0" w:line="1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ENLIVEN study also included 14 biopsy-confirmed NASH patients with compensated cirrhosis (F4 patients) who were not part of the primary analysis but continued in the study. 12 of these 14 patients underwent a follow-up biopsy at week 24. In a descriptive analysis of these data, five out of 11 pegozafermin-treated patients experienced at least one-stage improvement in liver fibrosis with no worsening of NASH by week 24 compared with zero out of 1 patient on placebo. An additional two pegozafermin-treated patients experienced at least one-stage improvement in liver fibrosis with no worsening of ballooning or inflammation.</w:t>
      </w:r>
    </w:p>
    <w:p>
      <w:pPr>
        <w:spacing w:after="0" w:line="12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Results from the ENLIVEN trial were published in the New England Journal of Medicine and simultaneously presented in a late-breaking oral session at the European Association for the Study of the Liver Congress. Additional data included in these publications showed that treatment with pegozafermin resulted in significant benefit across several key sub populations of NASH patients, and adding pegozafermin to patients taking GLP-1 therapies improved key NASH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Data from ENLIVEN Phase 2b Trial</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November 2023, we announced positive topline data from the blinded extension phase of our Phase 2b ENLIVEN trial evaluating treatment with pegozafermin in patients with NASH. At week 48, both the 44 mg every-two-week and 30 mg weekly dose groups demonstrated statistically significant improvements across key markers of liver health. The benefits observed at week 48 were consistent with the results observed at week 24, indicating sustained benefits over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ENLIVEN Extension Data</w:t>
      </w:r>
    </w:p>
    <w:p>
      <w:pPr>
        <w:spacing w:after="0" w:line="17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Patients in ENLIVEN continued in a blinded extension phase for an additional 24 weeks (the “Extension Phase”) past the primary endpoint at week 24 (the “Main Study”), for a total treatment period of 48 weeks. A subset of patients in the placebo arm of the Main Study (n=19) were re-randomized to receive 30 mg of pegozafermin weekly during the Extension Phase. The efficacy endpoints assessed in the Extension Phase included liver fat, non-invasive markers of fibrosis and inflammation, and metabolic markers. Per the protocol, these patients did not undergo biopsies at week 48.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7. Extension Phase Data at Week 48: Liver Non-Invasive Tests (NITs) Results [marker of]</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3740" w:type="dxa"/>
            <w:vAlign w:val="bottom"/>
            <w:tcBorders>
              <w:top w:val="single" w:sz="8" w:color="auto"/>
              <w:left w:val="single" w:sz="8" w:color="auto"/>
              <w:right w:val="single" w:sz="8" w:color="auto"/>
            </w:tcBorders>
          </w:tcPr>
          <w:p>
            <w:pPr>
              <w:spacing w:after="0"/>
              <w:rPr>
                <w:sz w:val="17"/>
                <w:szCs w:val="17"/>
                <w:color w:val="auto"/>
              </w:rPr>
            </w:pPr>
          </w:p>
        </w:tc>
        <w:tc>
          <w:tcPr>
            <w:tcW w:w="2500" w:type="dxa"/>
            <w:vAlign w:val="bottom"/>
            <w:tcBorders>
              <w:top w:val="single" w:sz="8" w:color="auto"/>
              <w:right w:val="single" w:sz="8" w:color="auto"/>
            </w:tcBorders>
          </w:tcPr>
          <w:p>
            <w:pPr>
              <w:spacing w:after="0"/>
              <w:rPr>
                <w:sz w:val="17"/>
                <w:szCs w:val="17"/>
                <w:color w:val="auto"/>
              </w:rPr>
            </w:pPr>
          </w:p>
        </w:tc>
        <w:tc>
          <w:tcPr>
            <w:tcW w:w="1800" w:type="dxa"/>
            <w:vAlign w:val="bottom"/>
            <w:tcBorders>
              <w:top w:val="single" w:sz="8" w:color="auto"/>
              <w:bottom w:val="single" w:sz="8" w:color="auto"/>
            </w:tcBorders>
            <w:shd w:val="clear" w:color="auto" w:fill="F2F2F2"/>
          </w:tcPr>
          <w:p>
            <w:pPr>
              <w:spacing w:after="0"/>
              <w:rPr>
                <w:sz w:val="17"/>
                <w:szCs w:val="17"/>
                <w:color w:val="auto"/>
              </w:rPr>
            </w:pPr>
          </w:p>
        </w:tc>
        <w:tc>
          <w:tcPr>
            <w:tcW w:w="3200" w:type="dxa"/>
            <w:vAlign w:val="bottom"/>
            <w:tcBorders>
              <w:top w:val="single" w:sz="8" w:color="auto"/>
              <w:bottom w:val="single" w:sz="8" w:color="auto"/>
              <w:right w:val="single" w:sz="8" w:color="auto"/>
            </w:tcBorders>
            <w:gridSpan w:val="2"/>
            <w:shd w:val="clear" w:color="auto" w:fill="F2F2F2"/>
          </w:tcPr>
          <w:p>
            <w:pPr>
              <w:ind w:left="240"/>
              <w:spacing w:after="0"/>
              <w:rPr>
                <w:sz w:val="20"/>
                <w:szCs w:val="20"/>
                <w:color w:val="auto"/>
              </w:rPr>
            </w:pPr>
            <w:r>
              <w:rPr>
                <w:rFonts w:ascii="Times New Roman" w:cs="Times New Roman" w:eastAsia="Times New Roman" w:hAnsi="Times New Roman"/>
                <w:sz w:val="15"/>
                <w:szCs w:val="15"/>
                <w:b w:val="1"/>
                <w:bCs w:val="1"/>
                <w:color w:val="auto"/>
              </w:rPr>
              <w:t>Pegozafermin</w:t>
            </w:r>
          </w:p>
        </w:tc>
      </w:tr>
      <w:tr>
        <w:trPr>
          <w:trHeight w:val="183"/>
        </w:trPr>
        <w:tc>
          <w:tcPr>
            <w:tcW w:w="3740" w:type="dxa"/>
            <w:vAlign w:val="bottom"/>
            <w:tcBorders>
              <w:left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5"/>
                <w:szCs w:val="15"/>
                <w:b w:val="1"/>
                <w:bCs w:val="1"/>
                <w:color w:val="auto"/>
              </w:rPr>
              <w:t>Placebo</w:t>
            </w:r>
          </w:p>
        </w:tc>
        <w:tc>
          <w:tcPr>
            <w:tcW w:w="1800" w:type="dxa"/>
            <w:vAlign w:val="bottom"/>
            <w:tcBorders>
              <w:bottom w:val="single" w:sz="8" w:color="auto"/>
            </w:tcBorders>
            <w:shd w:val="clear" w:color="auto" w:fill="F2F2F2"/>
          </w:tcPr>
          <w:p>
            <w:pPr>
              <w:ind w:left="900"/>
              <w:spacing w:after="0"/>
              <w:rPr>
                <w:sz w:val="20"/>
                <w:szCs w:val="20"/>
                <w:color w:val="auto"/>
              </w:rPr>
            </w:pPr>
            <w:r>
              <w:rPr>
                <w:rFonts w:ascii="Times New Roman" w:cs="Times New Roman" w:eastAsia="Times New Roman" w:hAnsi="Times New Roman"/>
                <w:sz w:val="15"/>
                <w:szCs w:val="15"/>
                <w:b w:val="1"/>
                <w:bCs w:val="1"/>
                <w:color w:val="auto"/>
              </w:rPr>
              <w:t>30mg QW</w:t>
            </w:r>
          </w:p>
        </w:tc>
        <w:tc>
          <w:tcPr>
            <w:tcW w:w="700" w:type="dxa"/>
            <w:vAlign w:val="bottom"/>
            <w:tcBorders>
              <w:bottom w:val="single" w:sz="8" w:color="auto"/>
              <w:right w:val="single" w:sz="8" w:color="auto"/>
            </w:tcBorders>
            <w:shd w:val="clear" w:color="auto" w:fill="F2F2F2"/>
          </w:tcPr>
          <w:p>
            <w:pPr>
              <w:spacing w:after="0"/>
              <w:rPr>
                <w:sz w:val="15"/>
                <w:szCs w:val="15"/>
                <w:color w:val="auto"/>
              </w:rPr>
            </w:pPr>
          </w:p>
        </w:tc>
        <w:tc>
          <w:tcPr>
            <w:tcW w:w="2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44mg Q2W</w:t>
            </w:r>
          </w:p>
        </w:tc>
      </w:tr>
      <w:tr>
        <w:trPr>
          <w:trHeight w:val="199"/>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F2-F3 Patients</w:t>
            </w:r>
          </w:p>
        </w:tc>
        <w:tc>
          <w:tcPr>
            <w:tcW w:w="250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5"/>
                <w:szCs w:val="15"/>
                <w:b w:val="1"/>
                <w:bCs w:val="1"/>
                <w:color w:val="auto"/>
                <w:w w:val="93"/>
              </w:rPr>
              <w:t>(n=35)</w:t>
            </w:r>
            <w:r>
              <w:rPr>
                <w:rFonts w:ascii="Times New Roman" w:cs="Times New Roman" w:eastAsia="Times New Roman" w:hAnsi="Times New Roman"/>
                <w:sz w:val="20"/>
                <w:szCs w:val="20"/>
                <w:b w:val="1"/>
                <w:bCs w:val="1"/>
                <w:color w:val="auto"/>
                <w:w w:val="93"/>
                <w:vertAlign w:val="superscript"/>
              </w:rPr>
              <w:t>1, 2</w:t>
            </w:r>
          </w:p>
        </w:tc>
        <w:tc>
          <w:tcPr>
            <w:tcW w:w="1800" w:type="dxa"/>
            <w:vAlign w:val="bottom"/>
            <w:tcBorders>
              <w:bottom w:val="single" w:sz="8" w:color="auto"/>
            </w:tcBorders>
            <w:shd w:val="clear" w:color="auto" w:fill="F2F2F2"/>
          </w:tcPr>
          <w:p>
            <w:pPr>
              <w:jc w:val="center"/>
              <w:ind w:left="593"/>
              <w:spacing w:after="0" w:line="180" w:lineRule="exact"/>
              <w:rPr>
                <w:sz w:val="20"/>
                <w:szCs w:val="20"/>
                <w:color w:val="auto"/>
              </w:rPr>
            </w:pPr>
            <w:r>
              <w:rPr>
                <w:rFonts w:ascii="Times New Roman" w:cs="Times New Roman" w:eastAsia="Times New Roman" w:hAnsi="Times New Roman"/>
                <w:sz w:val="15"/>
                <w:szCs w:val="15"/>
                <w:b w:val="1"/>
                <w:bCs w:val="1"/>
                <w:color w:val="auto"/>
                <w:w w:val="98"/>
              </w:rPr>
              <w:t>(n=50)</w:t>
            </w:r>
            <w:r>
              <w:rPr>
                <w:rFonts w:ascii="Times New Roman" w:cs="Times New Roman" w:eastAsia="Times New Roman" w:hAnsi="Times New Roman"/>
                <w:sz w:val="20"/>
                <w:szCs w:val="20"/>
                <w:b w:val="1"/>
                <w:bCs w:val="1"/>
                <w:color w:val="auto"/>
                <w:w w:val="98"/>
                <w:vertAlign w:val="superscript"/>
              </w:rPr>
              <w:t>2</w:t>
            </w:r>
          </w:p>
        </w:tc>
        <w:tc>
          <w:tcPr>
            <w:tcW w:w="700" w:type="dxa"/>
            <w:vAlign w:val="bottom"/>
            <w:tcBorders>
              <w:bottom w:val="single" w:sz="8" w:color="auto"/>
              <w:right w:val="single" w:sz="8" w:color="auto"/>
            </w:tcBorders>
            <w:shd w:val="clear" w:color="auto" w:fill="F2F2F2"/>
          </w:tcPr>
          <w:p>
            <w:pPr>
              <w:spacing w:after="0"/>
              <w:rPr>
                <w:sz w:val="17"/>
                <w:szCs w:val="17"/>
                <w:color w:val="auto"/>
              </w:rPr>
            </w:pPr>
          </w:p>
        </w:tc>
        <w:tc>
          <w:tcPr>
            <w:tcW w:w="2500" w:type="dxa"/>
            <w:vAlign w:val="bottom"/>
            <w:tcBorders>
              <w:bottom w:val="single" w:sz="8" w:color="auto"/>
              <w:right w:val="single" w:sz="8" w:color="auto"/>
            </w:tcBorders>
            <w:shd w:val="clear" w:color="auto" w:fill="D9D9D9"/>
          </w:tcPr>
          <w:p>
            <w:pPr>
              <w:jc w:val="center"/>
              <w:spacing w:after="0" w:line="180" w:lineRule="exact"/>
              <w:rPr>
                <w:sz w:val="20"/>
                <w:szCs w:val="20"/>
                <w:color w:val="auto"/>
              </w:rPr>
            </w:pPr>
            <w:r>
              <w:rPr>
                <w:rFonts w:ascii="Times New Roman" w:cs="Times New Roman" w:eastAsia="Times New Roman" w:hAnsi="Times New Roman"/>
                <w:sz w:val="15"/>
                <w:szCs w:val="15"/>
                <w:b w:val="1"/>
                <w:bCs w:val="1"/>
                <w:color w:val="auto"/>
                <w:w w:val="98"/>
              </w:rPr>
              <w:t>(n=45)</w:t>
            </w:r>
            <w:r>
              <w:rPr>
                <w:rFonts w:ascii="Times New Roman" w:cs="Times New Roman" w:eastAsia="Times New Roman" w:hAnsi="Times New Roman"/>
                <w:sz w:val="20"/>
                <w:szCs w:val="20"/>
                <w:b w:val="1"/>
                <w:bCs w:val="1"/>
                <w:color w:val="auto"/>
                <w:w w:val="98"/>
                <w:vertAlign w:val="superscript"/>
              </w:rPr>
              <w:t>2</w:t>
            </w:r>
          </w:p>
        </w:tc>
      </w:tr>
      <w:tr>
        <w:trPr>
          <w:trHeight w:val="220"/>
        </w:trPr>
        <w:tc>
          <w:tcPr>
            <w:tcW w:w="3740" w:type="dxa"/>
            <w:vAlign w:val="bottom"/>
            <w:tcBorders>
              <w:top w:val="single" w:sz="8" w:color="auto"/>
              <w:left w:val="single" w:sz="8" w:color="auto"/>
              <w:bottom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18"/>
                <w:szCs w:val="18"/>
                <w:color w:val="auto"/>
              </w:rPr>
              <w:t xml:space="preserve">MRI-PDFF [liver fat] </w:t>
            </w:r>
            <w:r>
              <w:rPr>
                <w:rFonts w:ascii="Times New Roman" w:cs="Times New Roman" w:eastAsia="Times New Roman" w:hAnsi="Times New Roman"/>
                <w:sz w:val="24"/>
                <w:szCs w:val="24"/>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800" w:type="dxa"/>
            <w:vAlign w:val="bottom"/>
            <w:tcBorders>
              <w:top w:val="single" w:sz="8" w:color="F2F2F2"/>
              <w:bottom w:val="single" w:sz="8" w:color="auto"/>
            </w:tcBorders>
            <w:shd w:val="clear" w:color="auto" w:fill="F2F2F2"/>
          </w:tcPr>
          <w:p>
            <w:pPr>
              <w:jc w:val="center"/>
              <w:ind w:left="573"/>
              <w:spacing w:after="0" w:line="220" w:lineRule="exact"/>
              <w:rPr>
                <w:sz w:val="20"/>
                <w:szCs w:val="20"/>
                <w:color w:val="auto"/>
              </w:rPr>
            </w:pPr>
            <w:r>
              <w:rPr>
                <w:rFonts w:ascii="Times New Roman" w:cs="Times New Roman" w:eastAsia="Times New Roman" w:hAnsi="Times New Roman"/>
                <w:sz w:val="18"/>
                <w:szCs w:val="18"/>
                <w:color w:val="auto"/>
                <w:w w:val="90"/>
              </w:rPr>
              <w:t>-60%</w:t>
            </w:r>
            <w:r>
              <w:rPr>
                <w:rFonts w:ascii="Times New Roman" w:cs="Times New Roman" w:eastAsia="Times New Roman" w:hAnsi="Times New Roman"/>
                <w:sz w:val="24"/>
                <w:szCs w:val="24"/>
                <w:color w:val="auto"/>
                <w:w w:val="90"/>
                <w:vertAlign w:val="superscript"/>
              </w:rPr>
              <w:t>**</w:t>
            </w:r>
          </w:p>
        </w:tc>
        <w:tc>
          <w:tcPr>
            <w:tcW w:w="700" w:type="dxa"/>
            <w:vAlign w:val="bottom"/>
            <w:tcBorders>
              <w:top w:val="single" w:sz="8" w:color="F2F2F2"/>
              <w:bottom w:val="single" w:sz="8" w:color="auto"/>
              <w:right w:val="single" w:sz="8" w:color="auto"/>
            </w:tcBorders>
            <w:shd w:val="clear" w:color="auto" w:fill="F2F2F2"/>
          </w:tcPr>
          <w:p>
            <w:pPr>
              <w:spacing w:after="0"/>
              <w:rPr>
                <w:sz w:val="19"/>
                <w:szCs w:val="19"/>
                <w:color w:val="auto"/>
              </w:rPr>
            </w:pPr>
          </w:p>
        </w:tc>
        <w:tc>
          <w:tcPr>
            <w:tcW w:w="2500" w:type="dxa"/>
            <w:vAlign w:val="bottom"/>
            <w:tcBorders>
              <w:top w:val="single" w:sz="8" w:color="D9D9D9"/>
              <w:bottom w:val="single" w:sz="8" w:color="auto"/>
              <w:right w:val="single" w:sz="8" w:color="auto"/>
            </w:tcBorders>
            <w:shd w:val="clear" w:color="auto" w:fill="D9D9D9"/>
          </w:tcPr>
          <w:p>
            <w:pPr>
              <w:jc w:val="center"/>
              <w:spacing w:after="0" w:line="220" w:lineRule="exact"/>
              <w:rPr>
                <w:sz w:val="20"/>
                <w:szCs w:val="20"/>
                <w:color w:val="auto"/>
              </w:rPr>
            </w:pPr>
            <w:r>
              <w:rPr>
                <w:rFonts w:ascii="Times New Roman" w:cs="Times New Roman" w:eastAsia="Times New Roman" w:hAnsi="Times New Roman"/>
                <w:sz w:val="18"/>
                <w:szCs w:val="18"/>
                <w:color w:val="auto"/>
                <w:w w:val="93"/>
              </w:rPr>
              <w:t>-47%</w:t>
            </w:r>
            <w:r>
              <w:rPr>
                <w:rFonts w:ascii="Times New Roman" w:cs="Times New Roman" w:eastAsia="Times New Roman" w:hAnsi="Times New Roman"/>
                <w:sz w:val="24"/>
                <w:szCs w:val="24"/>
                <w:color w:val="auto"/>
                <w:w w:val="93"/>
                <w:vertAlign w:val="superscript"/>
              </w:rPr>
              <w:t>*</w:t>
            </w:r>
          </w:p>
        </w:tc>
      </w:tr>
      <w:tr>
        <w:trPr>
          <w:trHeight w:val="237"/>
        </w:trPr>
        <w:tc>
          <w:tcPr>
            <w:tcW w:w="37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ALT [liver injury/inflammation]</w:t>
            </w:r>
            <w:r>
              <w:rPr>
                <w:rFonts w:ascii="Times New Roman" w:cs="Times New Roman" w:eastAsia="Times New Roman" w:hAnsi="Times New Roman"/>
                <w:sz w:val="24"/>
                <w:szCs w:val="24"/>
                <w:color w:val="auto"/>
                <w:vertAlign w:val="superscript"/>
              </w:rPr>
              <w:t>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800" w:type="dxa"/>
            <w:vAlign w:val="bottom"/>
            <w:tcBorders>
              <w:bottom w:val="single" w:sz="8" w:color="auto"/>
            </w:tcBorders>
            <w:shd w:val="clear" w:color="auto" w:fill="F2F2F2"/>
          </w:tcPr>
          <w:p>
            <w:pPr>
              <w:jc w:val="center"/>
              <w:ind w:left="573"/>
              <w:spacing w:after="0" w:line="236" w:lineRule="exact"/>
              <w:rPr>
                <w:sz w:val="20"/>
                <w:szCs w:val="20"/>
                <w:color w:val="auto"/>
              </w:rPr>
            </w:pPr>
            <w:r>
              <w:rPr>
                <w:rFonts w:ascii="Times New Roman" w:cs="Times New Roman" w:eastAsia="Times New Roman" w:hAnsi="Times New Roman"/>
                <w:sz w:val="18"/>
                <w:szCs w:val="18"/>
                <w:color w:val="auto"/>
                <w:w w:val="91"/>
              </w:rPr>
              <w:t>-42%</w:t>
            </w:r>
            <w:r>
              <w:rPr>
                <w:rFonts w:ascii="Times New Roman" w:cs="Times New Roman" w:eastAsia="Times New Roman" w:hAnsi="Times New Roman"/>
                <w:sz w:val="24"/>
                <w:szCs w:val="24"/>
                <w:color w:val="auto"/>
                <w:w w:val="91"/>
                <w:vertAlign w:val="superscript"/>
              </w:rPr>
              <w:t>***</w:t>
            </w:r>
          </w:p>
        </w:tc>
        <w:tc>
          <w:tcPr>
            <w:tcW w:w="700" w:type="dxa"/>
            <w:vAlign w:val="bottom"/>
            <w:tcBorders>
              <w:bottom w:val="single" w:sz="8" w:color="auto"/>
              <w:right w:val="single" w:sz="8" w:color="auto"/>
            </w:tcBorders>
            <w:shd w:val="clear" w:color="auto" w:fill="F2F2F2"/>
          </w:tcPr>
          <w:p>
            <w:pPr>
              <w:spacing w:after="0"/>
              <w:rPr>
                <w:sz w:val="20"/>
                <w:szCs w:val="20"/>
                <w:color w:val="auto"/>
              </w:rPr>
            </w:pPr>
          </w:p>
        </w:tc>
        <w:tc>
          <w:tcPr>
            <w:tcW w:w="2500" w:type="dxa"/>
            <w:vAlign w:val="bottom"/>
            <w:tcBorders>
              <w:bottom w:val="single" w:sz="8" w:color="auto"/>
              <w:right w:val="single" w:sz="8" w:color="auto"/>
            </w:tcBorders>
            <w:shd w:val="clear" w:color="auto" w:fill="D9D9D9"/>
          </w:tcPr>
          <w:p>
            <w:pPr>
              <w:jc w:val="center"/>
              <w:spacing w:after="0" w:line="236" w:lineRule="exact"/>
              <w:rPr>
                <w:sz w:val="20"/>
                <w:szCs w:val="20"/>
                <w:color w:val="auto"/>
              </w:rPr>
            </w:pPr>
            <w:r>
              <w:rPr>
                <w:rFonts w:ascii="Times New Roman" w:cs="Times New Roman" w:eastAsia="Times New Roman" w:hAnsi="Times New Roman"/>
                <w:sz w:val="18"/>
                <w:szCs w:val="18"/>
                <w:color w:val="auto"/>
                <w:w w:val="94"/>
              </w:rPr>
              <w:t>-35%</w:t>
            </w:r>
            <w:r>
              <w:rPr>
                <w:rFonts w:ascii="Times New Roman" w:cs="Times New Roman" w:eastAsia="Times New Roman" w:hAnsi="Times New Roman"/>
                <w:sz w:val="24"/>
                <w:szCs w:val="24"/>
                <w:color w:val="auto"/>
                <w:w w:val="94"/>
                <w:vertAlign w:val="superscript"/>
              </w:rPr>
              <w:t>**</w:t>
            </w:r>
          </w:p>
        </w:tc>
      </w:tr>
      <w:tr>
        <w:trPr>
          <w:trHeight w:val="237"/>
        </w:trPr>
        <w:tc>
          <w:tcPr>
            <w:tcW w:w="37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AST [liver injury/inflammation]</w:t>
            </w:r>
            <w:r>
              <w:rPr>
                <w:rFonts w:ascii="Times New Roman" w:cs="Times New Roman" w:eastAsia="Times New Roman" w:hAnsi="Times New Roman"/>
                <w:sz w:val="24"/>
                <w:szCs w:val="24"/>
                <w:color w:val="auto"/>
                <w:vertAlign w:val="superscript"/>
              </w:rPr>
              <w:t>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800" w:type="dxa"/>
            <w:vAlign w:val="bottom"/>
            <w:tcBorders>
              <w:bottom w:val="single" w:sz="8" w:color="auto"/>
            </w:tcBorders>
            <w:shd w:val="clear" w:color="auto" w:fill="F2F2F2"/>
          </w:tcPr>
          <w:p>
            <w:pPr>
              <w:jc w:val="center"/>
              <w:ind w:left="573"/>
              <w:spacing w:after="0" w:line="236" w:lineRule="exact"/>
              <w:rPr>
                <w:sz w:val="20"/>
                <w:szCs w:val="20"/>
                <w:color w:val="auto"/>
              </w:rPr>
            </w:pPr>
            <w:r>
              <w:rPr>
                <w:rFonts w:ascii="Times New Roman" w:cs="Times New Roman" w:eastAsia="Times New Roman" w:hAnsi="Times New Roman"/>
                <w:sz w:val="18"/>
                <w:szCs w:val="18"/>
                <w:color w:val="auto"/>
                <w:w w:val="91"/>
              </w:rPr>
              <w:t>-39%</w:t>
            </w:r>
            <w:r>
              <w:rPr>
                <w:rFonts w:ascii="Times New Roman" w:cs="Times New Roman" w:eastAsia="Times New Roman" w:hAnsi="Times New Roman"/>
                <w:sz w:val="24"/>
                <w:szCs w:val="24"/>
                <w:color w:val="auto"/>
                <w:w w:val="91"/>
                <w:vertAlign w:val="superscript"/>
              </w:rPr>
              <w:t>***</w:t>
            </w:r>
          </w:p>
        </w:tc>
        <w:tc>
          <w:tcPr>
            <w:tcW w:w="700" w:type="dxa"/>
            <w:vAlign w:val="bottom"/>
            <w:tcBorders>
              <w:bottom w:val="single" w:sz="8" w:color="auto"/>
              <w:right w:val="single" w:sz="8" w:color="auto"/>
            </w:tcBorders>
            <w:shd w:val="clear" w:color="auto" w:fill="F2F2F2"/>
          </w:tcPr>
          <w:p>
            <w:pPr>
              <w:spacing w:after="0"/>
              <w:rPr>
                <w:sz w:val="20"/>
                <w:szCs w:val="20"/>
                <w:color w:val="auto"/>
              </w:rPr>
            </w:pPr>
          </w:p>
        </w:tc>
        <w:tc>
          <w:tcPr>
            <w:tcW w:w="2500" w:type="dxa"/>
            <w:vAlign w:val="bottom"/>
            <w:tcBorders>
              <w:bottom w:val="single" w:sz="8" w:color="auto"/>
              <w:right w:val="single" w:sz="8" w:color="auto"/>
            </w:tcBorders>
            <w:shd w:val="clear" w:color="auto" w:fill="D9D9D9"/>
          </w:tcPr>
          <w:p>
            <w:pPr>
              <w:jc w:val="center"/>
              <w:spacing w:after="0" w:line="236" w:lineRule="exact"/>
              <w:rPr>
                <w:sz w:val="20"/>
                <w:szCs w:val="20"/>
                <w:color w:val="auto"/>
              </w:rPr>
            </w:pPr>
            <w:r>
              <w:rPr>
                <w:rFonts w:ascii="Times New Roman" w:cs="Times New Roman" w:eastAsia="Times New Roman" w:hAnsi="Times New Roman"/>
                <w:sz w:val="18"/>
                <w:szCs w:val="18"/>
                <w:color w:val="auto"/>
                <w:w w:val="88"/>
              </w:rPr>
              <w:t>-36%</w:t>
            </w:r>
            <w:r>
              <w:rPr>
                <w:rFonts w:ascii="Times New Roman" w:cs="Times New Roman" w:eastAsia="Times New Roman" w:hAnsi="Times New Roman"/>
                <w:sz w:val="24"/>
                <w:szCs w:val="24"/>
                <w:color w:val="auto"/>
                <w:w w:val="88"/>
                <w:vertAlign w:val="superscript"/>
              </w:rPr>
              <w:t>***</w:t>
            </w:r>
          </w:p>
        </w:tc>
      </w:tr>
      <w:tr>
        <w:trPr>
          <w:trHeight w:val="236"/>
        </w:trPr>
        <w:tc>
          <w:tcPr>
            <w:tcW w:w="37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ELF score [liver fibrosis]</w:t>
            </w:r>
            <w:r>
              <w:rPr>
                <w:rFonts w:ascii="Times New Roman" w:cs="Times New Roman" w:eastAsia="Times New Roman" w:hAnsi="Times New Roman"/>
                <w:sz w:val="24"/>
                <w:szCs w:val="24"/>
                <w:color w:val="auto"/>
                <w:vertAlign w:val="superscript"/>
              </w:rPr>
              <w:t>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tcBorders>
              <w:bottom w:val="single" w:sz="8" w:color="auto"/>
            </w:tcBorders>
            <w:shd w:val="clear" w:color="auto" w:fill="F2F2F2"/>
          </w:tcPr>
          <w:p>
            <w:pPr>
              <w:jc w:val="center"/>
              <w:ind w:left="593"/>
              <w:spacing w:after="0" w:line="236" w:lineRule="exact"/>
              <w:rPr>
                <w:sz w:val="20"/>
                <w:szCs w:val="20"/>
                <w:color w:val="auto"/>
              </w:rPr>
            </w:pPr>
            <w:r>
              <w:rPr>
                <w:rFonts w:ascii="Times New Roman" w:cs="Times New Roman" w:eastAsia="Times New Roman" w:hAnsi="Times New Roman"/>
                <w:sz w:val="18"/>
                <w:szCs w:val="18"/>
                <w:color w:val="auto"/>
                <w:w w:val="89"/>
              </w:rPr>
              <w:t>-0.3</w:t>
            </w:r>
            <w:r>
              <w:rPr>
                <w:rFonts w:ascii="Times New Roman" w:cs="Times New Roman" w:eastAsia="Times New Roman" w:hAnsi="Times New Roman"/>
                <w:sz w:val="24"/>
                <w:szCs w:val="24"/>
                <w:color w:val="auto"/>
                <w:w w:val="89"/>
                <w:vertAlign w:val="superscript"/>
              </w:rPr>
              <w:t>**</w:t>
            </w:r>
          </w:p>
        </w:tc>
        <w:tc>
          <w:tcPr>
            <w:tcW w:w="700" w:type="dxa"/>
            <w:vAlign w:val="bottom"/>
            <w:tcBorders>
              <w:bottom w:val="single" w:sz="8" w:color="auto"/>
              <w:right w:val="single" w:sz="8" w:color="auto"/>
            </w:tcBorders>
            <w:shd w:val="clear" w:color="auto" w:fill="F2F2F2"/>
          </w:tcPr>
          <w:p>
            <w:pPr>
              <w:spacing w:after="0"/>
              <w:rPr>
                <w:sz w:val="20"/>
                <w:szCs w:val="20"/>
                <w:color w:val="auto"/>
              </w:rPr>
            </w:pPr>
          </w:p>
        </w:tc>
        <w:tc>
          <w:tcPr>
            <w:tcW w:w="2500" w:type="dxa"/>
            <w:vAlign w:val="bottom"/>
            <w:tcBorders>
              <w:bottom w:val="single" w:sz="8" w:color="auto"/>
              <w:right w:val="single" w:sz="8" w:color="auto"/>
            </w:tcBorders>
            <w:shd w:val="clear" w:color="auto" w:fill="D9D9D9"/>
          </w:tcPr>
          <w:p>
            <w:pPr>
              <w:jc w:val="center"/>
              <w:spacing w:after="0" w:line="236" w:lineRule="exact"/>
              <w:rPr>
                <w:sz w:val="20"/>
                <w:szCs w:val="20"/>
                <w:color w:val="auto"/>
              </w:rPr>
            </w:pPr>
            <w:r>
              <w:rPr>
                <w:rFonts w:ascii="Times New Roman" w:cs="Times New Roman" w:eastAsia="Times New Roman" w:hAnsi="Times New Roman"/>
                <w:sz w:val="18"/>
                <w:szCs w:val="18"/>
                <w:color w:val="auto"/>
                <w:w w:val="91"/>
              </w:rPr>
              <w:t>-0.4</w:t>
            </w:r>
            <w:r>
              <w:rPr>
                <w:rFonts w:ascii="Times New Roman" w:cs="Times New Roman" w:eastAsia="Times New Roman" w:hAnsi="Times New Roman"/>
                <w:sz w:val="24"/>
                <w:szCs w:val="24"/>
                <w:color w:val="auto"/>
                <w:w w:val="91"/>
                <w:vertAlign w:val="superscript"/>
              </w:rPr>
              <w:t>***</w:t>
            </w:r>
          </w:p>
        </w:tc>
      </w:tr>
      <w:tr>
        <w:trPr>
          <w:trHeight w:val="237"/>
        </w:trPr>
        <w:tc>
          <w:tcPr>
            <w:tcW w:w="37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Pro-C3 [collagen deposition]</w:t>
            </w:r>
            <w:r>
              <w:rPr>
                <w:rFonts w:ascii="Times New Roman" w:cs="Times New Roman" w:eastAsia="Times New Roman" w:hAnsi="Times New Roman"/>
                <w:sz w:val="24"/>
                <w:szCs w:val="24"/>
                <w:color w:val="auto"/>
                <w:vertAlign w:val="superscript"/>
              </w:rPr>
              <w:t>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800" w:type="dxa"/>
            <w:vAlign w:val="bottom"/>
            <w:tcBorders>
              <w:bottom w:val="single" w:sz="8" w:color="auto"/>
            </w:tcBorders>
            <w:shd w:val="clear" w:color="auto" w:fill="F2F2F2"/>
          </w:tcPr>
          <w:p>
            <w:pPr>
              <w:jc w:val="center"/>
              <w:ind w:left="573"/>
              <w:spacing w:after="0" w:line="236" w:lineRule="exact"/>
              <w:rPr>
                <w:sz w:val="20"/>
                <w:szCs w:val="20"/>
                <w:color w:val="auto"/>
              </w:rPr>
            </w:pPr>
            <w:r>
              <w:rPr>
                <w:rFonts w:ascii="Times New Roman" w:cs="Times New Roman" w:eastAsia="Times New Roman" w:hAnsi="Times New Roman"/>
                <w:sz w:val="18"/>
                <w:szCs w:val="18"/>
                <w:color w:val="auto"/>
                <w:w w:val="91"/>
              </w:rPr>
              <w:t>-15%</w:t>
            </w:r>
            <w:r>
              <w:rPr>
                <w:rFonts w:ascii="Times New Roman" w:cs="Times New Roman" w:eastAsia="Times New Roman" w:hAnsi="Times New Roman"/>
                <w:sz w:val="24"/>
                <w:szCs w:val="24"/>
                <w:color w:val="auto"/>
                <w:w w:val="91"/>
                <w:vertAlign w:val="superscript"/>
              </w:rPr>
              <w:t>***</w:t>
            </w:r>
          </w:p>
        </w:tc>
        <w:tc>
          <w:tcPr>
            <w:tcW w:w="700" w:type="dxa"/>
            <w:vAlign w:val="bottom"/>
            <w:tcBorders>
              <w:bottom w:val="single" w:sz="8" w:color="auto"/>
              <w:right w:val="single" w:sz="8" w:color="auto"/>
            </w:tcBorders>
            <w:shd w:val="clear" w:color="auto" w:fill="F2F2F2"/>
          </w:tcPr>
          <w:p>
            <w:pPr>
              <w:spacing w:after="0"/>
              <w:rPr>
                <w:sz w:val="20"/>
                <w:szCs w:val="20"/>
                <w:color w:val="auto"/>
              </w:rPr>
            </w:pPr>
          </w:p>
        </w:tc>
        <w:tc>
          <w:tcPr>
            <w:tcW w:w="2500" w:type="dxa"/>
            <w:vAlign w:val="bottom"/>
            <w:tcBorders>
              <w:bottom w:val="single" w:sz="8" w:color="auto"/>
              <w:right w:val="single" w:sz="8" w:color="auto"/>
            </w:tcBorders>
            <w:shd w:val="clear" w:color="auto" w:fill="D9D9D9"/>
          </w:tcPr>
          <w:p>
            <w:pPr>
              <w:jc w:val="center"/>
              <w:spacing w:after="0" w:line="236" w:lineRule="exact"/>
              <w:rPr>
                <w:sz w:val="20"/>
                <w:szCs w:val="20"/>
                <w:color w:val="auto"/>
              </w:rPr>
            </w:pPr>
            <w:r>
              <w:rPr>
                <w:rFonts w:ascii="Times New Roman" w:cs="Times New Roman" w:eastAsia="Times New Roman" w:hAnsi="Times New Roman"/>
                <w:sz w:val="18"/>
                <w:szCs w:val="18"/>
                <w:color w:val="auto"/>
                <w:w w:val="88"/>
              </w:rPr>
              <w:t>-14%</w:t>
            </w:r>
            <w:r>
              <w:rPr>
                <w:rFonts w:ascii="Times New Roman" w:cs="Times New Roman" w:eastAsia="Times New Roman" w:hAnsi="Times New Roman"/>
                <w:sz w:val="24"/>
                <w:szCs w:val="24"/>
                <w:color w:val="auto"/>
                <w:w w:val="88"/>
                <w:vertAlign w:val="superscript"/>
              </w:rPr>
              <w:t>***</w:t>
            </w:r>
          </w:p>
        </w:tc>
      </w:tr>
      <w:tr>
        <w:trPr>
          <w:trHeight w:val="237"/>
        </w:trPr>
        <w:tc>
          <w:tcPr>
            <w:tcW w:w="37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VCTE (kPa) [liver stiffness]</w:t>
            </w:r>
            <w:r>
              <w:rPr>
                <w:rFonts w:ascii="Times New Roman" w:cs="Times New Roman" w:eastAsia="Times New Roman" w:hAnsi="Times New Roman"/>
                <w:sz w:val="24"/>
                <w:szCs w:val="24"/>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800" w:type="dxa"/>
            <w:vAlign w:val="bottom"/>
            <w:tcBorders>
              <w:bottom w:val="single" w:sz="8" w:color="auto"/>
            </w:tcBorders>
            <w:shd w:val="clear" w:color="auto" w:fill="F2F2F2"/>
          </w:tcPr>
          <w:p>
            <w:pPr>
              <w:jc w:val="center"/>
              <w:ind w:left="573"/>
              <w:spacing w:after="0" w:line="236" w:lineRule="exact"/>
              <w:rPr>
                <w:sz w:val="20"/>
                <w:szCs w:val="20"/>
                <w:color w:val="auto"/>
              </w:rPr>
            </w:pPr>
            <w:r>
              <w:rPr>
                <w:rFonts w:ascii="Times New Roman" w:cs="Times New Roman" w:eastAsia="Times New Roman" w:hAnsi="Times New Roman"/>
                <w:sz w:val="18"/>
                <w:szCs w:val="18"/>
                <w:color w:val="auto"/>
                <w:w w:val="93"/>
              </w:rPr>
              <w:t>-2.9</w:t>
            </w:r>
            <w:r>
              <w:rPr>
                <w:rFonts w:ascii="Times New Roman" w:cs="Times New Roman" w:eastAsia="Times New Roman" w:hAnsi="Times New Roman"/>
                <w:sz w:val="24"/>
                <w:szCs w:val="24"/>
                <w:color w:val="auto"/>
                <w:w w:val="93"/>
                <w:vertAlign w:val="superscript"/>
              </w:rPr>
              <w:t>*</w:t>
            </w:r>
          </w:p>
        </w:tc>
        <w:tc>
          <w:tcPr>
            <w:tcW w:w="700" w:type="dxa"/>
            <w:vAlign w:val="bottom"/>
            <w:tcBorders>
              <w:bottom w:val="single" w:sz="8" w:color="auto"/>
              <w:right w:val="single" w:sz="8" w:color="auto"/>
            </w:tcBorders>
            <w:shd w:val="clear" w:color="auto" w:fill="F2F2F2"/>
          </w:tcPr>
          <w:p>
            <w:pPr>
              <w:spacing w:after="0"/>
              <w:rPr>
                <w:sz w:val="20"/>
                <w:szCs w:val="20"/>
                <w:color w:val="auto"/>
              </w:rPr>
            </w:pPr>
          </w:p>
        </w:tc>
        <w:tc>
          <w:tcPr>
            <w:tcW w:w="2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r>
      <w:tr>
        <w:trPr>
          <w:trHeight w:val="237"/>
        </w:trPr>
        <w:tc>
          <w:tcPr>
            <w:tcW w:w="37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FAST [liver fibrosis]</w:t>
            </w:r>
            <w:r>
              <w:rPr>
                <w:rFonts w:ascii="Times New Roman" w:cs="Times New Roman" w:eastAsia="Times New Roman" w:hAnsi="Times New Roman"/>
                <w:sz w:val="24"/>
                <w:szCs w:val="24"/>
                <w:color w:val="auto"/>
                <w:vertAlign w:val="superscript"/>
              </w:rPr>
              <w:t>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800" w:type="dxa"/>
            <w:vAlign w:val="bottom"/>
            <w:tcBorders>
              <w:bottom w:val="single" w:sz="8" w:color="auto"/>
            </w:tcBorders>
            <w:shd w:val="clear" w:color="auto" w:fill="F2F2F2"/>
          </w:tcPr>
          <w:p>
            <w:pPr>
              <w:jc w:val="center"/>
              <w:ind w:left="573"/>
              <w:spacing w:after="0" w:line="236" w:lineRule="exact"/>
              <w:rPr>
                <w:sz w:val="20"/>
                <w:szCs w:val="20"/>
                <w:color w:val="auto"/>
              </w:rPr>
            </w:pPr>
            <w:r>
              <w:rPr>
                <w:rFonts w:ascii="Times New Roman" w:cs="Times New Roman" w:eastAsia="Times New Roman" w:hAnsi="Times New Roman"/>
                <w:sz w:val="18"/>
                <w:szCs w:val="18"/>
                <w:color w:val="auto"/>
                <w:w w:val="91"/>
              </w:rPr>
              <w:t>-59%</w:t>
            </w:r>
            <w:r>
              <w:rPr>
                <w:rFonts w:ascii="Times New Roman" w:cs="Times New Roman" w:eastAsia="Times New Roman" w:hAnsi="Times New Roman"/>
                <w:sz w:val="24"/>
                <w:szCs w:val="24"/>
                <w:color w:val="auto"/>
                <w:w w:val="91"/>
                <w:vertAlign w:val="superscript"/>
              </w:rPr>
              <w:t>***</w:t>
            </w:r>
          </w:p>
        </w:tc>
        <w:tc>
          <w:tcPr>
            <w:tcW w:w="700" w:type="dxa"/>
            <w:vAlign w:val="bottom"/>
            <w:tcBorders>
              <w:bottom w:val="single" w:sz="8" w:color="auto"/>
              <w:right w:val="single" w:sz="8" w:color="auto"/>
            </w:tcBorders>
            <w:shd w:val="clear" w:color="auto" w:fill="F2F2F2"/>
          </w:tcPr>
          <w:p>
            <w:pPr>
              <w:spacing w:after="0"/>
              <w:rPr>
                <w:sz w:val="20"/>
                <w:szCs w:val="20"/>
                <w:color w:val="auto"/>
              </w:rPr>
            </w:pPr>
          </w:p>
        </w:tc>
        <w:tc>
          <w:tcPr>
            <w:tcW w:w="2500" w:type="dxa"/>
            <w:vAlign w:val="bottom"/>
            <w:tcBorders>
              <w:bottom w:val="single" w:sz="8" w:color="auto"/>
              <w:right w:val="single" w:sz="8" w:color="auto"/>
            </w:tcBorders>
            <w:shd w:val="clear" w:color="auto" w:fill="D9D9D9"/>
          </w:tcPr>
          <w:p>
            <w:pPr>
              <w:jc w:val="center"/>
              <w:spacing w:after="0" w:line="236" w:lineRule="exact"/>
              <w:rPr>
                <w:sz w:val="20"/>
                <w:szCs w:val="20"/>
                <w:color w:val="auto"/>
              </w:rPr>
            </w:pPr>
            <w:r>
              <w:rPr>
                <w:rFonts w:ascii="Times New Roman" w:cs="Times New Roman" w:eastAsia="Times New Roman" w:hAnsi="Times New Roman"/>
                <w:sz w:val="18"/>
                <w:szCs w:val="18"/>
                <w:color w:val="auto"/>
                <w:w w:val="88"/>
              </w:rPr>
              <w:t>-51%</w:t>
            </w:r>
            <w:r>
              <w:rPr>
                <w:rFonts w:ascii="Times New Roman" w:cs="Times New Roman" w:eastAsia="Times New Roman" w:hAnsi="Times New Roman"/>
                <w:sz w:val="24"/>
                <w:szCs w:val="24"/>
                <w:color w:val="auto"/>
                <w:w w:val="88"/>
                <w:vertAlign w:val="superscript"/>
              </w:rPr>
              <w:t>***</w:t>
            </w:r>
          </w:p>
        </w:tc>
      </w:tr>
    </w:tbl>
    <w:p>
      <w:pPr>
        <w:jc w:val="both"/>
        <w:ind w:right="20"/>
        <w:spacing w:after="0" w:line="208" w:lineRule="auto"/>
        <w:rPr>
          <w:sz w:val="20"/>
          <w:szCs w:val="20"/>
          <w:color w:val="auto"/>
        </w:rPr>
      </w:pPr>
      <w:r>
        <w:rPr>
          <w:rFonts w:ascii="Times New Roman" w:cs="Times New Roman" w:eastAsia="Times New Roman" w:hAnsi="Times New Roman"/>
          <w:sz w:val="17"/>
          <w:szCs w:val="17"/>
          <w:color w:val="auto"/>
        </w:rPr>
        <w:t xml:space="preserve">***p&lt;0.001, **p&lt;0.01, *p&lt;0.05 versus placebo.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7"/>
          <w:szCs w:val="17"/>
          <w:color w:val="auto"/>
        </w:rPr>
        <w:t xml:space="preserve">Dataset excludes 19 placebo patients who were re-randomized to pegozafermin 30mg QW in the Extension Phase.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Extension data at week 48 represents patients who entered the blinded Extension Phase.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7"/>
          <w:szCs w:val="17"/>
          <w:color w:val="auto"/>
        </w:rPr>
        <w:t xml:space="preserve"> Least Square (LS) mean change from baseline.</w:t>
      </w:r>
    </w:p>
    <w:p>
      <w:pPr>
        <w:ind w:left="120" w:hanging="112"/>
        <w:spacing w:after="0" w:line="200" w:lineRule="auto"/>
        <w:tabs>
          <w:tab w:leader="none" w:pos="1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Median change from baseline.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 on Background GLP-1 Therapy:</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Consistent with results observed in the Main Study, patients on background GLP-1 therapy who received pegozafermin continued to derive a greater benefit on markers of liver fibrosis, liver injury/inflammation, liver fat and lipids, compared to patients who continued GLP-1 therapy in the placebo group. Patients entering ENLIVEN on background GLP-1 therapies were required to have been on a stable regimen for at least six months.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8. Extension Phase Data at Week 48: Patients on Background GLP-1, Liver NITs and Lipids Results [marker of]</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280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Placebo</w:t>
            </w:r>
          </w:p>
        </w:tc>
        <w:tc>
          <w:tcPr>
            <w:tcW w:w="2800" w:type="dxa"/>
            <w:vAlign w:val="bottom"/>
            <w:tcBorders>
              <w:top w:val="single" w:sz="8" w:color="auto"/>
              <w:right w:val="single" w:sz="8" w:color="auto"/>
            </w:tcBorders>
            <w:shd w:val="clear" w:color="auto" w:fill="F2F2F2"/>
          </w:tcPr>
          <w:p>
            <w:pPr>
              <w:ind w:left="800"/>
              <w:spacing w:after="0" w:line="224" w:lineRule="exact"/>
              <w:rPr>
                <w:sz w:val="20"/>
                <w:szCs w:val="20"/>
                <w:color w:val="auto"/>
              </w:rPr>
            </w:pPr>
            <w:r>
              <w:rPr>
                <w:rFonts w:ascii="Times New Roman" w:cs="Times New Roman" w:eastAsia="Times New Roman" w:hAnsi="Times New Roman"/>
                <w:sz w:val="18"/>
                <w:szCs w:val="18"/>
                <w:b w:val="1"/>
                <w:bCs w:val="1"/>
                <w:color w:val="auto"/>
              </w:rPr>
              <w:t>Pegozafermin</w:t>
            </w:r>
            <w:r>
              <w:rPr>
                <w:rFonts w:ascii="Times New Roman" w:cs="Times New Roman" w:eastAsia="Times New Roman" w:hAnsi="Times New Roman"/>
                <w:sz w:val="24"/>
                <w:szCs w:val="24"/>
                <w:color w:val="auto"/>
                <w:vertAlign w:val="superscript"/>
              </w:rPr>
              <w:t>3</w:t>
            </w:r>
          </w:p>
        </w:tc>
      </w:tr>
      <w:tr>
        <w:trPr>
          <w:trHeight w:val="265"/>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(n=12)</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(n=26)</w:t>
            </w:r>
          </w:p>
        </w:tc>
      </w:tr>
      <w:tr>
        <w:trPr>
          <w:trHeight w:val="223"/>
        </w:trPr>
        <w:tc>
          <w:tcPr>
            <w:tcW w:w="5640" w:type="dxa"/>
            <w:vAlign w:val="bottom"/>
            <w:tcBorders>
              <w:top w:val="single" w:sz="8" w:color="auto"/>
              <w:left w:val="single" w:sz="8" w:color="auto"/>
              <w:bottom w:val="single" w:sz="8" w:color="auto"/>
              <w:right w:val="single" w:sz="8" w:color="auto"/>
            </w:tcBorders>
          </w:tcPr>
          <w:p>
            <w:pPr>
              <w:ind w:left="40"/>
              <w:spacing w:after="0" w:line="222" w:lineRule="exact"/>
              <w:rPr>
                <w:sz w:val="20"/>
                <w:szCs w:val="20"/>
                <w:color w:val="auto"/>
              </w:rPr>
            </w:pPr>
            <w:r>
              <w:rPr>
                <w:rFonts w:ascii="Times New Roman" w:cs="Times New Roman" w:eastAsia="Times New Roman" w:hAnsi="Times New Roman"/>
                <w:sz w:val="18"/>
                <w:szCs w:val="18"/>
                <w:color w:val="auto"/>
              </w:rPr>
              <w:t>MRI-PDFF [liver fat]</w:t>
            </w:r>
            <w:r>
              <w:rPr>
                <w:rFonts w:ascii="Times New Roman" w:cs="Times New Roman" w:eastAsia="Times New Roman" w:hAnsi="Times New Roman"/>
                <w:sz w:val="24"/>
                <w:szCs w:val="24"/>
                <w:color w:val="auto"/>
                <w:vertAlign w:val="superscript"/>
              </w:rPr>
              <w:t>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800" w:type="dxa"/>
            <w:vAlign w:val="bottom"/>
            <w:tcBorders>
              <w:top w:val="single" w:sz="8" w:color="F2F2F2"/>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r>
      <w:tr>
        <w:trPr>
          <w:trHeight w:val="237"/>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ALT [liver injury/inflammation]</w:t>
            </w:r>
            <w:r>
              <w:rPr>
                <w:rFonts w:ascii="Times New Roman" w:cs="Times New Roman" w:eastAsia="Times New Roman" w:hAnsi="Times New Roman"/>
                <w:sz w:val="24"/>
                <w:szCs w:val="24"/>
                <w:color w:val="auto"/>
                <w:vertAlign w:val="superscript"/>
              </w:rPr>
              <w:t>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r>
      <w:tr>
        <w:trPr>
          <w:trHeight w:val="236"/>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 xml:space="preserve">AST [liver injury/inflammation] </w:t>
            </w:r>
            <w:r>
              <w:rPr>
                <w:rFonts w:ascii="Times New Roman" w:cs="Times New Roman" w:eastAsia="Times New Roman" w:hAnsi="Times New Roman"/>
                <w:sz w:val="24"/>
                <w:szCs w:val="24"/>
                <w:color w:val="auto"/>
                <w:vertAlign w:val="superscript"/>
              </w:rPr>
              <w:t>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237"/>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 xml:space="preserve">ELF score [liver fibrosis] </w:t>
            </w:r>
            <w:r>
              <w:rPr>
                <w:rFonts w:ascii="Times New Roman" w:cs="Times New Roman" w:eastAsia="Times New Roman" w:hAnsi="Times New Roman"/>
                <w:sz w:val="24"/>
                <w:szCs w:val="24"/>
                <w:color w:val="auto"/>
                <w:vertAlign w:val="superscript"/>
              </w:rPr>
              <w:t>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Pro-C3 [collagen deposition]</w:t>
            </w:r>
            <w:r>
              <w:rPr>
                <w:rFonts w:ascii="Times New Roman" w:cs="Times New Roman" w:eastAsia="Times New Roman" w:hAnsi="Times New Roman"/>
                <w:sz w:val="24"/>
                <w:szCs w:val="24"/>
                <w:color w:val="auto"/>
                <w:vertAlign w:val="superscript"/>
              </w:rPr>
              <w:t>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36"/>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VCTE (kPa) [liver stiffness]</w:t>
            </w:r>
            <w:r>
              <w:rPr>
                <w:rFonts w:ascii="Times New Roman" w:cs="Times New Roman" w:eastAsia="Times New Roman" w:hAnsi="Times New Roman"/>
                <w:sz w:val="24"/>
                <w:szCs w:val="24"/>
                <w:color w:val="auto"/>
                <w:vertAlign w:val="superscript"/>
              </w:rPr>
              <w:t>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 xml:space="preserve">FAST [liver fibrosis] </w:t>
            </w:r>
            <w:r>
              <w:rPr>
                <w:rFonts w:ascii="Times New Roman" w:cs="Times New Roman" w:eastAsia="Times New Roman" w:hAnsi="Times New Roman"/>
                <w:sz w:val="24"/>
                <w:szCs w:val="24"/>
                <w:color w:val="auto"/>
                <w:vertAlign w:val="superscript"/>
              </w:rPr>
              <w:t>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r>
      <w:tr>
        <w:trPr>
          <w:trHeight w:val="236"/>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Triglycerides [lipids]</w:t>
            </w:r>
            <w:r>
              <w:rPr>
                <w:rFonts w:ascii="Times New Roman" w:cs="Times New Roman" w:eastAsia="Times New Roman" w:hAnsi="Times New Roman"/>
                <w:sz w:val="24"/>
                <w:szCs w:val="24"/>
                <w:color w:val="auto"/>
                <w:vertAlign w:val="superscript"/>
              </w:rPr>
              <w:t>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37"/>
        </w:trPr>
        <w:tc>
          <w:tcPr>
            <w:tcW w:w="5640" w:type="dxa"/>
            <w:vAlign w:val="bottom"/>
            <w:tcBorders>
              <w:left w:val="single" w:sz="8" w:color="auto"/>
              <w:bottom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8"/>
                <w:szCs w:val="18"/>
                <w:color w:val="auto"/>
              </w:rPr>
              <w:t>LDL-C [lipids]</w:t>
            </w:r>
            <w:r>
              <w:rPr>
                <w:rFonts w:ascii="Times New Roman" w:cs="Times New Roman" w:eastAsia="Times New Roman" w:hAnsi="Times New Roman"/>
                <w:sz w:val="24"/>
                <w:szCs w:val="24"/>
                <w:color w:val="auto"/>
                <w:vertAlign w:val="superscript"/>
              </w:rPr>
              <w:t>2</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8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bl>
    <w:p>
      <w:pPr>
        <w:ind w:left="120" w:hanging="112"/>
        <w:spacing w:after="0"/>
        <w:tabs>
          <w:tab w:leader="none" w:pos="1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LS mean change from baseline.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Median change from baseline.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Patients dosed with pegozafermin 30mg QW or 44mg Q2W.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Compensated Cirrhosis (F4) Patients: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Biopsy-confirmed compensated cirrhosis F4 patients who had previously demonstrated histological response and improvement across NITs at week 24 continued to demonstrate robust and sustained improvements in non-invasive measures at week 48.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Figure 9. Extension Phase Data at Week 48: F4 Patients, Liver NITs Results [marker of]</w:t>
            </w:r>
          </w:p>
        </w:tc>
        <w:tc>
          <w:tcPr>
            <w:tcW w:w="3900" w:type="dxa"/>
            <w:vAlign w:val="bottom"/>
          </w:tcPr>
          <w:p>
            <w:pPr>
              <w:spacing w:after="0"/>
              <w:rPr>
                <w:sz w:val="20"/>
                <w:szCs w:val="20"/>
                <w:color w:val="auto"/>
              </w:rPr>
            </w:pPr>
          </w:p>
        </w:tc>
      </w:tr>
      <w:tr>
        <w:trPr>
          <w:trHeight w:val="199"/>
        </w:trPr>
        <w:tc>
          <w:tcPr>
            <w:tcW w:w="73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r>
      <w:tr>
        <w:trPr>
          <w:trHeight w:val="164"/>
        </w:trPr>
        <w:tc>
          <w:tcPr>
            <w:tcW w:w="7340" w:type="dxa"/>
            <w:vAlign w:val="bottom"/>
            <w:tcBorders>
              <w:left w:val="single" w:sz="8" w:color="auto"/>
              <w:right w:val="single" w:sz="8" w:color="auto"/>
            </w:tcBorders>
          </w:tcPr>
          <w:p>
            <w:pPr>
              <w:spacing w:after="0"/>
              <w:rPr>
                <w:sz w:val="14"/>
                <w:szCs w:val="14"/>
                <w:color w:val="auto"/>
              </w:rPr>
            </w:pPr>
          </w:p>
        </w:tc>
        <w:tc>
          <w:tcPr>
            <w:tcW w:w="3900" w:type="dxa"/>
            <w:vAlign w:val="bottom"/>
            <w:tcBorders>
              <w:right w:val="single" w:sz="8" w:color="auto"/>
            </w:tcBorders>
          </w:tcPr>
          <w:p>
            <w:pPr>
              <w:ind w:left="1360"/>
              <w:spacing w:after="0" w:line="164" w:lineRule="exact"/>
              <w:rPr>
                <w:sz w:val="20"/>
                <w:szCs w:val="20"/>
                <w:color w:val="auto"/>
              </w:rPr>
            </w:pPr>
            <w:r>
              <w:rPr>
                <w:rFonts w:ascii="Times New Roman" w:cs="Times New Roman" w:eastAsia="Times New Roman" w:hAnsi="Times New Roman"/>
                <w:sz w:val="15"/>
                <w:szCs w:val="15"/>
                <w:b w:val="1"/>
                <w:bCs w:val="1"/>
                <w:color w:val="auto"/>
              </w:rPr>
              <w:t>Pegozafermin</w:t>
            </w:r>
            <w:r>
              <w:rPr>
                <w:rFonts w:ascii="Times New Roman" w:cs="Times New Roman" w:eastAsia="Times New Roman" w:hAnsi="Times New Roman"/>
                <w:sz w:val="19"/>
                <w:szCs w:val="19"/>
                <w:color w:val="auto"/>
                <w:vertAlign w:val="superscript"/>
              </w:rPr>
              <w:t>3</w:t>
            </w:r>
          </w:p>
        </w:tc>
      </w:tr>
      <w:tr>
        <w:trPr>
          <w:trHeight w:val="265"/>
        </w:trPr>
        <w:tc>
          <w:tcPr>
            <w:tcW w:w="7340" w:type="dxa"/>
            <w:vAlign w:val="bottom"/>
            <w:tcBorders>
              <w:left w:val="single" w:sz="8" w:color="auto"/>
              <w:bottom w:val="single" w:sz="8" w:color="auto"/>
              <w:right w:val="single" w:sz="8" w:color="auto"/>
            </w:tcBorders>
          </w:tcPr>
          <w:p>
            <w:pPr>
              <w:spacing w:after="0"/>
              <w:rPr>
                <w:sz w:val="23"/>
                <w:szCs w:val="23"/>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(n=12)</w:t>
            </w:r>
          </w:p>
        </w:tc>
      </w:tr>
      <w:tr>
        <w:trPr>
          <w:trHeight w:val="223"/>
        </w:trPr>
        <w:tc>
          <w:tcPr>
            <w:tcW w:w="7340" w:type="dxa"/>
            <w:vAlign w:val="bottom"/>
            <w:tcBorders>
              <w:left w:val="single" w:sz="8" w:color="auto"/>
              <w:bottom w:val="single" w:sz="8" w:color="auto"/>
              <w:right w:val="single" w:sz="8" w:color="auto"/>
            </w:tcBorders>
          </w:tcPr>
          <w:p>
            <w:pPr>
              <w:ind w:left="120"/>
              <w:spacing w:after="0" w:line="222" w:lineRule="exact"/>
              <w:rPr>
                <w:sz w:val="20"/>
                <w:szCs w:val="20"/>
                <w:color w:val="auto"/>
              </w:rPr>
            </w:pPr>
            <w:r>
              <w:rPr>
                <w:rFonts w:ascii="Times New Roman" w:cs="Times New Roman" w:eastAsia="Times New Roman" w:hAnsi="Times New Roman"/>
                <w:sz w:val="18"/>
                <w:szCs w:val="18"/>
                <w:color w:val="auto"/>
              </w:rPr>
              <w:t>ALT [liver injury/inflammation]</w:t>
            </w:r>
            <w:r>
              <w:rPr>
                <w:rFonts w:ascii="Times New Roman" w:cs="Times New Roman" w:eastAsia="Times New Roman" w:hAnsi="Times New Roman"/>
                <w:sz w:val="24"/>
                <w:szCs w:val="24"/>
                <w:color w:val="auto"/>
                <w:vertAlign w:val="superscript"/>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73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AST [liver injury/inflammation]</w:t>
            </w:r>
            <w:r>
              <w:rPr>
                <w:rFonts w:ascii="Times New Roman" w:cs="Times New Roman" w:eastAsia="Times New Roman" w:hAnsi="Times New Roman"/>
                <w:sz w:val="24"/>
                <w:szCs w:val="24"/>
                <w:color w:val="auto"/>
                <w:vertAlign w:val="superscript"/>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73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ELF score [liver fibrosis]</w:t>
            </w:r>
            <w:r>
              <w:rPr>
                <w:rFonts w:ascii="Times New Roman" w:cs="Times New Roman" w:eastAsia="Times New Roman" w:hAnsi="Times New Roman"/>
                <w:sz w:val="24"/>
                <w:szCs w:val="24"/>
                <w:color w:val="auto"/>
                <w:vertAlign w:val="superscript"/>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r>
      <w:tr>
        <w:trPr>
          <w:trHeight w:val="237"/>
        </w:trPr>
        <w:tc>
          <w:tcPr>
            <w:tcW w:w="73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Pro-C3 [collagen deposition]</w:t>
            </w:r>
            <w:r>
              <w:rPr>
                <w:rFonts w:ascii="Times New Roman" w:cs="Times New Roman" w:eastAsia="Times New Roman" w:hAnsi="Times New Roman"/>
                <w:sz w:val="24"/>
                <w:szCs w:val="24"/>
                <w:color w:val="auto"/>
                <w:vertAlign w:val="superscript"/>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73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VCTE (kPa) [liver stiffness]</w:t>
            </w:r>
            <w:r>
              <w:rPr>
                <w:rFonts w:ascii="Times New Roman" w:cs="Times New Roman" w:eastAsia="Times New Roman" w:hAnsi="Times New Roman"/>
                <w:sz w:val="24"/>
                <w:szCs w:val="24"/>
                <w:color w:val="auto"/>
                <w:vertAlign w:val="superscript"/>
              </w:rPr>
              <w:t>2</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w:t>
            </w:r>
          </w:p>
        </w:tc>
      </w:tr>
      <w:tr>
        <w:trPr>
          <w:trHeight w:val="236"/>
        </w:trPr>
        <w:tc>
          <w:tcPr>
            <w:tcW w:w="73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FAST [liver fibrosis]</w:t>
            </w:r>
            <w:r>
              <w:rPr>
                <w:rFonts w:ascii="Times New Roman" w:cs="Times New Roman" w:eastAsia="Times New Roman" w:hAnsi="Times New Roman"/>
                <w:sz w:val="24"/>
                <w:szCs w:val="24"/>
                <w:color w:val="auto"/>
                <w:vertAlign w:val="superscript"/>
              </w:rPr>
              <w:t>1</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w:t>
            </w:r>
          </w:p>
        </w:tc>
      </w:tr>
    </w:tbl>
    <w:p>
      <w:pPr>
        <w:ind w:left="120" w:hanging="112"/>
        <w:spacing w:after="0"/>
        <w:tabs>
          <w:tab w:leader="none" w:pos="12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LS mean change from baseline.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Median change from baseline.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Patients dosed with pegozafermin 15mg QW, 30mg QW or 44mg Q2W.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 Re-randomized from Placebo to Pegozafermin:</w:t>
      </w:r>
    </w:p>
    <w:p>
      <w:pPr>
        <w:spacing w:after="0" w:line="17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patients re-randomized to receive 30 mg weekly during the Extension Phase demonstrated robust improvements in NITs of liver fibrosis, liver injury/inflammation and liver fat following 24 weeks of treatment with pegozafermin after experiencing minimal to no change during the first 24 weeks on placebo. Patients in the re-randomized group served as their own control.</w:t>
      </w:r>
    </w:p>
    <w:p>
      <w:pPr>
        <w:spacing w:after="0" w:line="12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Pegozafermin continued to demonstrate a favorable safety and tolerability profile at week 48, consistent with previously reported data. The most common treatment-emergent adverse events were Grade 1 or 2 gastrointestinal events. Incidence rates of adverse events remained generally stable between week 24 and week 48 with no new patients on pegozafermin reporting diarrhea or nausea during the Extension Phase. At week 48, no clinically meaningful or statistically significant changes in bone mineral density or bone biomarkers were observed relative to placebo. No clinically meaningful or statistically significant changes in blood pressure or heart rate were observed relative to placebo.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Update on Phase 3 Program</w:t>
      </w:r>
    </w:p>
    <w:p>
      <w:pPr>
        <w:spacing w:after="0" w:line="1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December 2023, we announced a successful end-of-Phase 2 meeting with the FDA, supporting the advancement of pegozafermin into a Phase 3 program in NASH. The program will include two Phase 3 trials evaluating patients with NASH. ENLIGHTEN-Cirrhosis is expected to enroll patients with compensated cirrhosis (F4) and ENLIGHTEN-Fibrosis is expected to enroll patients with fibrosis stage F2-F3.</w:t>
      </w:r>
    </w:p>
    <w:p>
      <w:pPr>
        <w:spacing w:after="0" w:line="12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planned ENLIGHTEN program will be comprised of two randomized, double-blinded, placebo-controlled Phase 3 trials, evaluating the efficacy and safety of pegozafermin in patients with NASH. ENLIGHTEN-Fibrosis and ENLIGHTEN-Cirrhosis are expected to initiate in the first quarter and the second quarter of 2024, respectively. In November 2023, we received initial scientific advice from the EMA, which generally aligned with the feedback from the FDA.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ENLIGHTEN-Cirrhosis</w:t>
      </w:r>
    </w:p>
    <w:p>
      <w:pPr>
        <w:spacing w:after="0" w:line="119" w:lineRule="exact"/>
        <w:rPr>
          <w:sz w:val="20"/>
          <w:szCs w:val="20"/>
          <w:color w:val="auto"/>
        </w:rPr>
      </w:pPr>
    </w:p>
    <w:p>
      <w:pPr>
        <w:ind w:left="1020" w:right="720" w:hanging="503"/>
        <w:spacing w:after="0" w:line="282"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ENLIGHTEN-Cirrhosis is expected to enroll patients with compensated F4 NASH. The trial will evaluate the efficacy and safety of pegozafermin administered 30 mg weekly.</w:t>
      </w:r>
    </w:p>
    <w:p>
      <w:pPr>
        <w:spacing w:after="0" w:line="53" w:lineRule="exact"/>
        <w:rPr>
          <w:rFonts w:ascii="Times New Roman" w:cs="Times New Roman" w:eastAsia="Times New Roman" w:hAnsi="Times New Roman"/>
          <w:sz w:val="18"/>
          <w:szCs w:val="18"/>
          <w:color w:val="231F20"/>
        </w:rPr>
      </w:pPr>
    </w:p>
    <w:p>
      <w:pPr>
        <w:ind w:left="1640" w:hanging="374"/>
        <w:spacing w:after="0" w:line="261" w:lineRule="auto"/>
        <w:tabs>
          <w:tab w:leader="none" w:pos="1640" w:val="left"/>
        </w:tabs>
        <w:numPr>
          <w:ilvl w:val="1"/>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Histology Portion: The primary endpoint will be regression of fibrosis from F4 to an earlier stage of fibrosis. This endpoint is planned to be assessed at 24 months, with the potential to assess it earlier based on the evolving clinical and regulatory landscape. This primary endpoint is intended to support a filing for accelerated approval in the United States and conditional approval in Europe in F4 patients.</w:t>
      </w:r>
    </w:p>
    <w:p>
      <w:pPr>
        <w:spacing w:after="0" w:line="71" w:lineRule="exact"/>
        <w:rPr>
          <w:rFonts w:ascii="Times New Roman" w:cs="Times New Roman" w:eastAsia="Times New Roman" w:hAnsi="Times New Roman"/>
          <w:sz w:val="18"/>
          <w:szCs w:val="18"/>
          <w:color w:val="231F20"/>
        </w:rPr>
      </w:pPr>
    </w:p>
    <w:p>
      <w:pPr>
        <w:ind w:left="1640" w:right="40" w:hanging="374"/>
        <w:spacing w:after="0" w:line="261" w:lineRule="auto"/>
        <w:tabs>
          <w:tab w:leader="none" w:pos="1640" w:val="left"/>
        </w:tabs>
        <w:numPr>
          <w:ilvl w:val="1"/>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Outcome Portion: Patients will continue to be treated in a blinded extension phase through clinical outcome events that are expected to be predominantly decompensation events. Alignment with the FDA on modified definitions of some of these events could allow the trial to reach the final number of events more quickly and therefore accelerate the timeline to trial readout. Positive results would support full approval in F4 patients and will also serve as confirmatory full approval in F2-F3 patients.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ENLIGHTEN-Fibrosis</w:t>
      </w:r>
    </w:p>
    <w:p>
      <w:pPr>
        <w:spacing w:after="0" w:line="173" w:lineRule="exact"/>
        <w:rPr>
          <w:sz w:val="20"/>
          <w:szCs w:val="20"/>
          <w:color w:val="auto"/>
        </w:rPr>
      </w:pPr>
    </w:p>
    <w:p>
      <w:pPr>
        <w:ind w:left="1020" w:right="50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ENLIGHTEN-Fibrosis is expected to enroll patients with F2-F3 NASH. The trial will evaluate the efficacy and safety of pegozafermin administered 30 mg weekly and 44 mg every-two-weeks.</w:t>
      </w:r>
    </w:p>
    <w:p>
      <w:pPr>
        <w:spacing w:after="0" w:line="53" w:lineRule="exact"/>
        <w:rPr>
          <w:rFonts w:ascii="Times New Roman" w:cs="Times New Roman" w:eastAsia="Times New Roman" w:hAnsi="Times New Roman"/>
          <w:sz w:val="18"/>
          <w:szCs w:val="18"/>
          <w:color w:val="231F20"/>
        </w:rPr>
      </w:pPr>
    </w:p>
    <w:p>
      <w:pPr>
        <w:ind w:left="1640" w:right="220" w:hanging="374"/>
        <w:spacing w:after="0" w:line="266" w:lineRule="auto"/>
        <w:tabs>
          <w:tab w:leader="none" w:pos="1640" w:val="left"/>
        </w:tabs>
        <w:numPr>
          <w:ilvl w:val="1"/>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Histology Portion: The co-primary endpoints will be a one-point improvement in fibrosis with no worsening of NASH and NASH resolution with no worsening of fibrosis. These endpoints will be assessed at week 52 and are intended to support a filing for accelerated approval in the United States and conditional approval in Europe in F2-F3 patients.</w:t>
      </w:r>
    </w:p>
    <w:p>
      <w:pPr>
        <w:spacing w:after="0" w:line="67" w:lineRule="exact"/>
        <w:rPr>
          <w:rFonts w:ascii="Times New Roman" w:cs="Times New Roman" w:eastAsia="Times New Roman" w:hAnsi="Times New Roman"/>
          <w:sz w:val="18"/>
          <w:szCs w:val="18"/>
          <w:color w:val="231F20"/>
        </w:rPr>
      </w:pPr>
    </w:p>
    <w:p>
      <w:pPr>
        <w:ind w:left="1640" w:right="500" w:hanging="374"/>
        <w:spacing w:after="0" w:line="282" w:lineRule="auto"/>
        <w:tabs>
          <w:tab w:leader="none" w:pos="1640" w:val="left"/>
        </w:tabs>
        <w:numPr>
          <w:ilvl w:val="1"/>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Outcome Portion: Patients will continue to be treated in a blinded extension phase to measure clinical outcomes to support full approval in F2-F3 patients. The clinical outcome events are expected to be primarily due to progression to cirrhosis.</w:t>
      </w:r>
    </w:p>
    <w:p>
      <w:pPr>
        <w:spacing w:after="0" w:line="1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Both ENLIGHTEN-Fibrosis and ENLIGHTEN-Cirrhosis are expected to enroll a significant proportion of patients on stable doses of GLP-1 based therapies and data from these patients in the trials will evaluate the expected incremental benefit of adding pegozafermin to these therapies. Both trials will employ the three-panel consensus biopsy reading methodology, which was successfully utilized in the ENLIVEN trial, for both baseline and primary endpoint biopsy reads. Patients will self-administer pegozafermin using the planned commercial liquid formulation delivered as a single subcutaneous injection.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Pegozafermin Clinical Development in SHTG</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2022, we reported positive topline results from the ENTRIGUE Phase 2 trial of pegozafermin in SHTG patients. ENTRIGUE was a randomized, double-blind, placebo-controlled trial that enrolled a total of 85 SHTG patients either on stable background therapy (55% - statin/statin combos, and/or prescription fish oil, and/or fibrates) or not on any background therapy treated weekly (9 mg, 18 mg or 27 mg) or every-two-weeks (36 mg) with pegozafermin or placebo over an eight-week treatment period. The trial enrolled an advanced population of patients with high risk of cardiovascular disease as evidenced by mean baseline values of treated patients with TGs of 733 mg/dL, non-HDL-C of 211 mg/dL, 43.5% with HbA1c ≥ 6.5%, and liver fat content of 20.1%. The primary endpoint was the percentage change in fasting triglyceride levels from baseline.</w:t>
      </w:r>
    </w:p>
    <w:p>
      <w:pPr>
        <w:spacing w:after="0" w:line="13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shown in Figure 10 below, results demonstrated statistically significant reductions in median triglycerides from baseline across all dose groups treated with pegozafermin compared to placebo after 8 weeks. Additionally, as shown in Figure 11 below, results were consistent in patients not on background therapy or on background therapy (consistent results on statins or statin combos, prescription fish oils, and fibrates) and across various subgroups, including those with the greatest disease burden, such as Type 2 diabetes and baseline TG levels ≥ 750 mg/dL.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84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w w:val="99"/>
              </w:rPr>
              <w:t>Figure 10: Median Percent Change in Triglycerides from Baseline at Week 8</w:t>
            </w:r>
          </w:p>
        </w:tc>
        <w:tc>
          <w:tcPr>
            <w:tcW w:w="4400" w:type="dxa"/>
            <w:vAlign w:val="bottom"/>
          </w:tcPr>
          <w:p>
            <w:pPr>
              <w:spacing w:after="0"/>
              <w:rPr>
                <w:sz w:val="20"/>
                <w:szCs w:val="20"/>
                <w:color w:val="auto"/>
              </w:rPr>
            </w:pPr>
          </w:p>
        </w:tc>
      </w:tr>
      <w:tr>
        <w:trPr>
          <w:trHeight w:val="179"/>
        </w:trPr>
        <w:tc>
          <w:tcPr>
            <w:tcW w:w="2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r>
      <w:tr>
        <w:trPr>
          <w:trHeight w:val="236"/>
        </w:trPr>
        <w:tc>
          <w:tcPr>
            <w:tcW w:w="206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Dosing group</w:t>
            </w:r>
          </w:p>
        </w:tc>
        <w:tc>
          <w:tcPr>
            <w:tcW w:w="114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Median TG reduction</w:t>
            </w:r>
          </w:p>
        </w:tc>
      </w:tr>
      <w:tr>
        <w:trPr>
          <w:trHeight w:val="217"/>
        </w:trPr>
        <w:tc>
          <w:tcPr>
            <w:tcW w:w="2060" w:type="dxa"/>
            <w:vAlign w:val="bottom"/>
            <w:tcBorders>
              <w:left w:val="single" w:sz="8" w:color="auto"/>
              <w:bottom w:val="single" w:sz="8" w:color="auto"/>
            </w:tcBorders>
          </w:tcPr>
          <w:p>
            <w:pPr>
              <w:spacing w:after="0"/>
              <w:rPr>
                <w:sz w:val="18"/>
                <w:szCs w:val="18"/>
                <w:color w:val="auto"/>
              </w:rPr>
            </w:pPr>
          </w:p>
        </w:tc>
        <w:tc>
          <w:tcPr>
            <w:tcW w:w="3640" w:type="dxa"/>
            <w:vAlign w:val="bottom"/>
            <w:tcBorders>
              <w:bottom w:val="single" w:sz="8" w:color="auto"/>
              <w:right w:val="single" w:sz="8" w:color="auto"/>
            </w:tcBorders>
            <w:gridSpan w:val="2"/>
          </w:tcPr>
          <w:p>
            <w:pPr>
              <w:jc w:val="center"/>
              <w:ind w:right="2011"/>
              <w:spacing w:after="0"/>
              <w:rPr>
                <w:sz w:val="20"/>
                <w:szCs w:val="20"/>
                <w:color w:val="auto"/>
              </w:rPr>
            </w:pPr>
            <w:r>
              <w:rPr>
                <w:rFonts w:ascii="Times New Roman" w:cs="Times New Roman" w:eastAsia="Times New Roman" w:hAnsi="Times New Roman"/>
                <w:sz w:val="18"/>
                <w:szCs w:val="18"/>
                <w:color w:val="auto"/>
                <w:w w:val="99"/>
              </w:rPr>
              <w:t>Placebo (n=18)</w:t>
            </w:r>
          </w:p>
        </w:tc>
        <w:tc>
          <w:tcPr>
            <w:tcW w:w="1140" w:type="dxa"/>
            <w:vAlign w:val="bottom"/>
            <w:tcBorders>
              <w:bottom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jc w:val="center"/>
              <w:ind w:right="1090"/>
              <w:spacing w:after="0"/>
              <w:rPr>
                <w:sz w:val="20"/>
                <w:szCs w:val="20"/>
                <w:color w:val="auto"/>
              </w:rPr>
            </w:pPr>
            <w:r>
              <w:rPr>
                <w:rFonts w:ascii="Times New Roman" w:cs="Times New Roman" w:eastAsia="Times New Roman" w:hAnsi="Times New Roman"/>
                <w:sz w:val="18"/>
                <w:szCs w:val="18"/>
                <w:color w:val="auto"/>
                <w:w w:val="97"/>
              </w:rPr>
              <w:t>-12%</w:t>
            </w:r>
          </w:p>
        </w:tc>
      </w:tr>
      <w:tr>
        <w:trPr>
          <w:trHeight w:val="239"/>
        </w:trPr>
        <w:tc>
          <w:tcPr>
            <w:tcW w:w="206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gridSpan w:val="2"/>
          </w:tcPr>
          <w:p>
            <w:pPr>
              <w:jc w:val="center"/>
              <w:ind w:right="1911"/>
              <w:spacing w:after="0"/>
              <w:rPr>
                <w:sz w:val="20"/>
                <w:szCs w:val="20"/>
                <w:color w:val="auto"/>
              </w:rPr>
            </w:pPr>
            <w:r>
              <w:rPr>
                <w:rFonts w:ascii="Times New Roman" w:cs="Times New Roman" w:eastAsia="Times New Roman" w:hAnsi="Times New Roman"/>
                <w:sz w:val="18"/>
                <w:szCs w:val="18"/>
                <w:color w:val="auto"/>
                <w:w w:val="99"/>
              </w:rPr>
              <w:t>9 mg QW (n=16)</w:t>
            </w:r>
          </w:p>
        </w:tc>
        <w:tc>
          <w:tcPr>
            <w:tcW w:w="114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center"/>
              <w:ind w:right="1090"/>
              <w:spacing w:after="0" w:line="240" w:lineRule="exact"/>
              <w:rPr>
                <w:sz w:val="20"/>
                <w:szCs w:val="20"/>
                <w:color w:val="auto"/>
              </w:rPr>
            </w:pPr>
            <w:r>
              <w:rPr>
                <w:rFonts w:ascii="Times New Roman" w:cs="Times New Roman" w:eastAsia="Times New Roman" w:hAnsi="Times New Roman"/>
                <w:sz w:val="18"/>
                <w:szCs w:val="18"/>
                <w:color w:val="auto"/>
                <w:w w:val="91"/>
              </w:rPr>
              <w:t>-57%</w:t>
            </w:r>
            <w:r>
              <w:rPr>
                <w:rFonts w:ascii="Times New Roman" w:cs="Times New Roman" w:eastAsia="Times New Roman" w:hAnsi="Times New Roman"/>
                <w:sz w:val="24"/>
                <w:szCs w:val="24"/>
                <w:color w:val="auto"/>
                <w:w w:val="91"/>
                <w:vertAlign w:val="superscript"/>
              </w:rPr>
              <w:t>***</w:t>
            </w:r>
          </w:p>
        </w:tc>
      </w:tr>
      <w:tr>
        <w:trPr>
          <w:trHeight w:val="237"/>
        </w:trPr>
        <w:tc>
          <w:tcPr>
            <w:tcW w:w="206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gridSpan w:val="2"/>
          </w:tcPr>
          <w:p>
            <w:pPr>
              <w:jc w:val="center"/>
              <w:ind w:right="2011"/>
              <w:spacing w:after="0"/>
              <w:rPr>
                <w:sz w:val="20"/>
                <w:szCs w:val="20"/>
                <w:color w:val="auto"/>
              </w:rPr>
            </w:pPr>
            <w:r>
              <w:rPr>
                <w:rFonts w:ascii="Times New Roman" w:cs="Times New Roman" w:eastAsia="Times New Roman" w:hAnsi="Times New Roman"/>
                <w:sz w:val="18"/>
                <w:szCs w:val="18"/>
                <w:color w:val="auto"/>
              </w:rPr>
              <w:t>18 mg QW (n=17)</w:t>
            </w:r>
          </w:p>
        </w:tc>
        <w:tc>
          <w:tcPr>
            <w:tcW w:w="114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center"/>
              <w:ind w:right="1090"/>
              <w:spacing w:after="0" w:line="236" w:lineRule="exact"/>
              <w:rPr>
                <w:sz w:val="20"/>
                <w:szCs w:val="20"/>
                <w:color w:val="auto"/>
              </w:rPr>
            </w:pPr>
            <w:r>
              <w:rPr>
                <w:rFonts w:ascii="Times New Roman" w:cs="Times New Roman" w:eastAsia="Times New Roman" w:hAnsi="Times New Roman"/>
                <w:sz w:val="18"/>
                <w:szCs w:val="18"/>
                <w:color w:val="auto"/>
                <w:w w:val="91"/>
              </w:rPr>
              <w:t>-56%</w:t>
            </w:r>
            <w:r>
              <w:rPr>
                <w:rFonts w:ascii="Times New Roman" w:cs="Times New Roman" w:eastAsia="Times New Roman" w:hAnsi="Times New Roman"/>
                <w:sz w:val="24"/>
                <w:szCs w:val="24"/>
                <w:color w:val="auto"/>
                <w:w w:val="91"/>
                <w:vertAlign w:val="superscript"/>
              </w:rPr>
              <w:t>***</w:t>
            </w:r>
          </w:p>
        </w:tc>
      </w:tr>
      <w:tr>
        <w:trPr>
          <w:trHeight w:val="236"/>
        </w:trPr>
        <w:tc>
          <w:tcPr>
            <w:tcW w:w="206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gridSpan w:val="2"/>
          </w:tcPr>
          <w:p>
            <w:pPr>
              <w:jc w:val="center"/>
              <w:ind w:right="2011"/>
              <w:spacing w:after="0"/>
              <w:rPr>
                <w:sz w:val="20"/>
                <w:szCs w:val="20"/>
                <w:color w:val="auto"/>
              </w:rPr>
            </w:pPr>
            <w:r>
              <w:rPr>
                <w:rFonts w:ascii="Times New Roman" w:cs="Times New Roman" w:eastAsia="Times New Roman" w:hAnsi="Times New Roman"/>
                <w:sz w:val="18"/>
                <w:szCs w:val="18"/>
                <w:color w:val="auto"/>
              </w:rPr>
              <w:t>27 mg QW (n=18)</w:t>
            </w:r>
          </w:p>
        </w:tc>
        <w:tc>
          <w:tcPr>
            <w:tcW w:w="114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center"/>
              <w:ind w:right="1090"/>
              <w:spacing w:after="0" w:line="236" w:lineRule="exact"/>
              <w:rPr>
                <w:sz w:val="20"/>
                <w:szCs w:val="20"/>
                <w:color w:val="auto"/>
              </w:rPr>
            </w:pPr>
            <w:r>
              <w:rPr>
                <w:rFonts w:ascii="Times New Roman" w:cs="Times New Roman" w:eastAsia="Times New Roman" w:hAnsi="Times New Roman"/>
                <w:sz w:val="18"/>
                <w:szCs w:val="18"/>
                <w:color w:val="auto"/>
                <w:w w:val="91"/>
              </w:rPr>
              <w:t>-63%</w:t>
            </w:r>
            <w:r>
              <w:rPr>
                <w:rFonts w:ascii="Times New Roman" w:cs="Times New Roman" w:eastAsia="Times New Roman" w:hAnsi="Times New Roman"/>
                <w:sz w:val="24"/>
                <w:szCs w:val="24"/>
                <w:color w:val="auto"/>
                <w:w w:val="91"/>
                <w:vertAlign w:val="superscript"/>
              </w:rPr>
              <w:t>***</w:t>
            </w:r>
          </w:p>
        </w:tc>
      </w:tr>
      <w:tr>
        <w:trPr>
          <w:trHeight w:val="237"/>
        </w:trPr>
        <w:tc>
          <w:tcPr>
            <w:tcW w:w="206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gridSpan w:val="2"/>
          </w:tcPr>
          <w:p>
            <w:pPr>
              <w:jc w:val="center"/>
              <w:ind w:right="2011"/>
              <w:spacing w:after="0"/>
              <w:rPr>
                <w:sz w:val="20"/>
                <w:szCs w:val="20"/>
                <w:color w:val="auto"/>
              </w:rPr>
            </w:pPr>
            <w:r>
              <w:rPr>
                <w:rFonts w:ascii="Times New Roman" w:cs="Times New Roman" w:eastAsia="Times New Roman" w:hAnsi="Times New Roman"/>
                <w:sz w:val="18"/>
                <w:szCs w:val="18"/>
                <w:color w:val="auto"/>
                <w:w w:val="99"/>
              </w:rPr>
              <w:t>36 mg Q2W (n=16)</w:t>
            </w:r>
          </w:p>
        </w:tc>
        <w:tc>
          <w:tcPr>
            <w:tcW w:w="114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center"/>
              <w:ind w:right="1090"/>
              <w:spacing w:after="0" w:line="236" w:lineRule="exact"/>
              <w:rPr>
                <w:sz w:val="20"/>
                <w:szCs w:val="20"/>
                <w:color w:val="auto"/>
              </w:rPr>
            </w:pPr>
            <w:r>
              <w:rPr>
                <w:rFonts w:ascii="Times New Roman" w:cs="Times New Roman" w:eastAsia="Times New Roman" w:hAnsi="Times New Roman"/>
                <w:sz w:val="18"/>
                <w:szCs w:val="18"/>
                <w:color w:val="auto"/>
                <w:w w:val="97"/>
              </w:rPr>
              <w:t>-36%</w:t>
            </w:r>
            <w:r>
              <w:rPr>
                <w:rFonts w:ascii="Times New Roman" w:cs="Times New Roman" w:eastAsia="Times New Roman" w:hAnsi="Times New Roman"/>
                <w:sz w:val="24"/>
                <w:szCs w:val="24"/>
                <w:color w:val="auto"/>
                <w:w w:val="97"/>
                <w:vertAlign w:val="superscript"/>
              </w:rPr>
              <w:t>*</w:t>
            </w:r>
          </w:p>
        </w:tc>
      </w:tr>
      <w:tr>
        <w:trPr>
          <w:trHeight w:val="182"/>
        </w:trPr>
        <w:tc>
          <w:tcPr>
            <w:tcW w:w="6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p&lt;0.05; *** p&lt;0.001 versus placebo based on Wilcoxon Rank-Sum Test</w:t>
            </w:r>
          </w:p>
        </w:tc>
        <w:tc>
          <w:tcPr>
            <w:tcW w:w="4400" w:type="dxa"/>
            <w:vAlign w:val="bottom"/>
          </w:tcPr>
          <w:p>
            <w:pPr>
              <w:spacing w:after="0"/>
              <w:rPr>
                <w:sz w:val="15"/>
                <w:szCs w:val="15"/>
                <w:color w:val="auto"/>
              </w:rPr>
            </w:pPr>
          </w:p>
        </w:tc>
      </w:tr>
      <w:tr>
        <w:trPr>
          <w:trHeight w:val="419"/>
        </w:trPr>
        <w:tc>
          <w:tcPr>
            <w:tcW w:w="684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i w:val="1"/>
                <w:iCs w:val="1"/>
                <w:color w:val="auto"/>
                <w:w w:val="99"/>
              </w:rPr>
              <w:t>Figure 11: Median Percent Change in Triglycerides from Baseline at Week 8</w:t>
            </w:r>
          </w:p>
        </w:tc>
        <w:tc>
          <w:tcPr>
            <w:tcW w:w="4400" w:type="dxa"/>
            <w:vAlign w:val="bottom"/>
          </w:tcPr>
          <w:p>
            <w:pPr>
              <w:spacing w:after="0"/>
              <w:rPr>
                <w:sz w:val="24"/>
                <w:szCs w:val="24"/>
                <w:color w:val="auto"/>
              </w:rPr>
            </w:pPr>
          </w:p>
        </w:tc>
      </w:tr>
      <w:tr>
        <w:trPr>
          <w:trHeight w:val="199"/>
        </w:trPr>
        <w:tc>
          <w:tcPr>
            <w:tcW w:w="20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2"/>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r>
        <w:trPr>
          <w:trHeight w:val="217"/>
        </w:trPr>
        <w:tc>
          <w:tcPr>
            <w:tcW w:w="2060" w:type="dxa"/>
            <w:vAlign w:val="bottom"/>
            <w:tcBorders>
              <w:left w:val="single" w:sz="8" w:color="auto"/>
              <w:bottom w:val="single" w:sz="8" w:color="auto"/>
            </w:tcBorders>
          </w:tcPr>
          <w:p>
            <w:pPr>
              <w:jc w:val="center"/>
              <w:ind w:left="854"/>
              <w:spacing w:after="0" w:line="196" w:lineRule="exact"/>
              <w:rPr>
                <w:sz w:val="20"/>
                <w:szCs w:val="20"/>
                <w:color w:val="auto"/>
              </w:rPr>
            </w:pPr>
            <w:r>
              <w:rPr>
                <w:rFonts w:ascii="Times New Roman" w:cs="Times New Roman" w:eastAsia="Times New Roman" w:hAnsi="Times New Roman"/>
                <w:sz w:val="18"/>
                <w:szCs w:val="18"/>
                <w:b w:val="1"/>
                <w:bCs w:val="1"/>
                <w:color w:val="auto"/>
              </w:rPr>
              <w:t>Dosing group</w:t>
            </w:r>
          </w:p>
        </w:tc>
        <w:tc>
          <w:tcPr>
            <w:tcW w:w="9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gridSpan w:val="2"/>
          </w:tcPr>
          <w:p>
            <w:pPr>
              <w:jc w:val="center"/>
              <w:ind w:right="60"/>
              <w:spacing w:after="0" w:line="197" w:lineRule="exact"/>
              <w:rPr>
                <w:sz w:val="20"/>
                <w:szCs w:val="20"/>
                <w:color w:val="auto"/>
              </w:rPr>
            </w:pPr>
            <w:r>
              <w:rPr>
                <w:rFonts w:ascii="Times New Roman" w:cs="Times New Roman" w:eastAsia="Times New Roman" w:hAnsi="Times New Roman"/>
                <w:sz w:val="17"/>
                <w:szCs w:val="17"/>
                <w:b w:val="1"/>
                <w:bCs w:val="1"/>
                <w:color w:val="auto"/>
              </w:rPr>
              <w:t>Patients on background therapy</w:t>
            </w:r>
            <w:r>
              <w:rPr>
                <w:rFonts w:ascii="Times New Roman" w:cs="Times New Roman" w:eastAsia="Times New Roman" w:hAnsi="Times New Roman"/>
                <w:sz w:val="22"/>
                <w:szCs w:val="22"/>
                <w:b w:val="1"/>
                <w:bCs w:val="1"/>
                <w:color w:val="auto"/>
                <w:vertAlign w:val="superscript"/>
              </w:rPr>
              <w:t>1</w:t>
            </w:r>
          </w:p>
        </w:tc>
        <w:tc>
          <w:tcPr>
            <w:tcW w:w="4400" w:type="dxa"/>
            <w:vAlign w:val="bottom"/>
            <w:tcBorders>
              <w:bottom w:val="single" w:sz="8" w:color="auto"/>
              <w:right w:val="single" w:sz="8" w:color="auto"/>
            </w:tcBorders>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Patients not on background therapy</w:t>
            </w:r>
          </w:p>
        </w:tc>
      </w:tr>
      <w:tr>
        <w:trPr>
          <w:trHeight w:val="217"/>
        </w:trPr>
        <w:tc>
          <w:tcPr>
            <w:tcW w:w="2060" w:type="dxa"/>
            <w:vAlign w:val="bottom"/>
            <w:tcBorders>
              <w:left w:val="single" w:sz="8" w:color="auto"/>
              <w:bottom w:val="single" w:sz="8" w:color="auto"/>
            </w:tcBorders>
          </w:tcPr>
          <w:p>
            <w:pPr>
              <w:jc w:val="center"/>
              <w:ind w:left="814"/>
              <w:spacing w:after="0"/>
              <w:rPr>
                <w:sz w:val="20"/>
                <w:szCs w:val="20"/>
                <w:color w:val="auto"/>
              </w:rPr>
            </w:pPr>
            <w:r>
              <w:rPr>
                <w:rFonts w:ascii="Times New Roman" w:cs="Times New Roman" w:eastAsia="Times New Roman" w:hAnsi="Times New Roman"/>
                <w:sz w:val="18"/>
                <w:szCs w:val="18"/>
                <w:color w:val="auto"/>
                <w:w w:val="98"/>
              </w:rPr>
              <w:t>Placebo</w:t>
            </w:r>
          </w:p>
        </w:tc>
        <w:tc>
          <w:tcPr>
            <w:tcW w:w="98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tcBorders>
          </w:tcPr>
          <w:p>
            <w:pPr>
              <w:jc w:val="center"/>
              <w:ind w:left="991"/>
              <w:spacing w:after="0"/>
              <w:rPr>
                <w:sz w:val="20"/>
                <w:szCs w:val="20"/>
                <w:color w:val="auto"/>
              </w:rPr>
            </w:pPr>
            <w:r>
              <w:rPr>
                <w:rFonts w:ascii="Times New Roman" w:cs="Times New Roman" w:eastAsia="Times New Roman" w:hAnsi="Times New Roman"/>
                <w:sz w:val="18"/>
                <w:szCs w:val="18"/>
                <w:color w:val="auto"/>
                <w:w w:val="97"/>
              </w:rPr>
              <w:t>-18%</w:t>
            </w:r>
          </w:p>
        </w:tc>
        <w:tc>
          <w:tcPr>
            <w:tcW w:w="114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5%</w:t>
            </w:r>
          </w:p>
        </w:tc>
      </w:tr>
      <w:tr>
        <w:trPr>
          <w:trHeight w:val="235"/>
        </w:trPr>
        <w:tc>
          <w:tcPr>
            <w:tcW w:w="2060" w:type="dxa"/>
            <w:vAlign w:val="bottom"/>
            <w:tcBorders>
              <w:left w:val="single" w:sz="8" w:color="auto"/>
              <w:bottom w:val="single" w:sz="8" w:color="auto"/>
            </w:tcBorders>
          </w:tcPr>
          <w:p>
            <w:pPr>
              <w:jc w:val="center"/>
              <w:ind w:left="894"/>
              <w:spacing w:after="0"/>
              <w:rPr>
                <w:sz w:val="20"/>
                <w:szCs w:val="20"/>
                <w:color w:val="auto"/>
              </w:rPr>
            </w:pPr>
            <w:r>
              <w:rPr>
                <w:rFonts w:ascii="Times New Roman" w:cs="Times New Roman" w:eastAsia="Times New Roman" w:hAnsi="Times New Roman"/>
                <w:sz w:val="18"/>
                <w:szCs w:val="18"/>
                <w:color w:val="auto"/>
              </w:rPr>
              <w:t>9 mg QW</w:t>
            </w:r>
          </w:p>
        </w:tc>
        <w:tc>
          <w:tcPr>
            <w:tcW w:w="98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tcBorders>
          </w:tcPr>
          <w:p>
            <w:pPr>
              <w:jc w:val="center"/>
              <w:ind w:left="991"/>
              <w:spacing w:after="0"/>
              <w:rPr>
                <w:sz w:val="20"/>
                <w:szCs w:val="20"/>
                <w:color w:val="auto"/>
              </w:rPr>
            </w:pPr>
            <w:r>
              <w:rPr>
                <w:rFonts w:ascii="Times New Roman" w:cs="Times New Roman" w:eastAsia="Times New Roman" w:hAnsi="Times New Roman"/>
                <w:sz w:val="18"/>
                <w:szCs w:val="18"/>
                <w:color w:val="auto"/>
                <w:w w:val="97"/>
              </w:rPr>
              <w:t>-59%</w:t>
            </w:r>
          </w:p>
        </w:tc>
        <w:tc>
          <w:tcPr>
            <w:tcW w:w="1140" w:type="dxa"/>
            <w:vAlign w:val="bottom"/>
            <w:tcBorders>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2060" w:type="dxa"/>
            <w:vAlign w:val="bottom"/>
            <w:tcBorders>
              <w:left w:val="single" w:sz="8" w:color="auto"/>
              <w:bottom w:val="single" w:sz="8" w:color="auto"/>
            </w:tcBorders>
          </w:tcPr>
          <w:p>
            <w:pPr>
              <w:jc w:val="center"/>
              <w:ind w:left="814"/>
              <w:spacing w:after="0"/>
              <w:rPr>
                <w:sz w:val="20"/>
                <w:szCs w:val="20"/>
                <w:color w:val="auto"/>
              </w:rPr>
            </w:pPr>
            <w:r>
              <w:rPr>
                <w:rFonts w:ascii="Times New Roman" w:cs="Times New Roman" w:eastAsia="Times New Roman" w:hAnsi="Times New Roman"/>
                <w:sz w:val="18"/>
                <w:szCs w:val="18"/>
                <w:color w:val="auto"/>
                <w:w w:val="99"/>
              </w:rPr>
              <w:t>18 mg QW</w:t>
            </w:r>
          </w:p>
        </w:tc>
        <w:tc>
          <w:tcPr>
            <w:tcW w:w="98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tcBorders>
          </w:tcPr>
          <w:p>
            <w:pPr>
              <w:jc w:val="center"/>
              <w:ind w:left="991"/>
              <w:spacing w:after="0"/>
              <w:rPr>
                <w:sz w:val="20"/>
                <w:szCs w:val="20"/>
                <w:color w:val="auto"/>
              </w:rPr>
            </w:pPr>
            <w:r>
              <w:rPr>
                <w:rFonts w:ascii="Times New Roman" w:cs="Times New Roman" w:eastAsia="Times New Roman" w:hAnsi="Times New Roman"/>
                <w:sz w:val="18"/>
                <w:szCs w:val="18"/>
                <w:color w:val="auto"/>
                <w:w w:val="97"/>
              </w:rPr>
              <w:t>-56%</w:t>
            </w:r>
          </w:p>
        </w:tc>
        <w:tc>
          <w:tcPr>
            <w:tcW w:w="1140" w:type="dxa"/>
            <w:vAlign w:val="bottom"/>
            <w:tcBorders>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2060" w:type="dxa"/>
            <w:vAlign w:val="bottom"/>
            <w:tcBorders>
              <w:left w:val="single" w:sz="8" w:color="auto"/>
              <w:bottom w:val="single" w:sz="8" w:color="auto"/>
            </w:tcBorders>
          </w:tcPr>
          <w:p>
            <w:pPr>
              <w:jc w:val="center"/>
              <w:ind w:left="814"/>
              <w:spacing w:after="0"/>
              <w:rPr>
                <w:sz w:val="20"/>
                <w:szCs w:val="20"/>
                <w:color w:val="auto"/>
              </w:rPr>
            </w:pPr>
            <w:r>
              <w:rPr>
                <w:rFonts w:ascii="Times New Roman" w:cs="Times New Roman" w:eastAsia="Times New Roman" w:hAnsi="Times New Roman"/>
                <w:sz w:val="18"/>
                <w:szCs w:val="18"/>
                <w:color w:val="auto"/>
                <w:w w:val="99"/>
              </w:rPr>
              <w:t>27 mg QW</w:t>
            </w:r>
          </w:p>
        </w:tc>
        <w:tc>
          <w:tcPr>
            <w:tcW w:w="98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tcBorders>
          </w:tcPr>
          <w:p>
            <w:pPr>
              <w:jc w:val="center"/>
              <w:ind w:left="991"/>
              <w:spacing w:after="0"/>
              <w:rPr>
                <w:sz w:val="20"/>
                <w:szCs w:val="20"/>
                <w:color w:val="auto"/>
              </w:rPr>
            </w:pPr>
            <w:r>
              <w:rPr>
                <w:rFonts w:ascii="Times New Roman" w:cs="Times New Roman" w:eastAsia="Times New Roman" w:hAnsi="Times New Roman"/>
                <w:sz w:val="18"/>
                <w:szCs w:val="18"/>
                <w:color w:val="auto"/>
                <w:w w:val="97"/>
              </w:rPr>
              <w:t>-68%</w:t>
            </w:r>
          </w:p>
        </w:tc>
        <w:tc>
          <w:tcPr>
            <w:tcW w:w="1140" w:type="dxa"/>
            <w:vAlign w:val="bottom"/>
            <w:tcBorders>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2060" w:type="dxa"/>
            <w:vAlign w:val="bottom"/>
            <w:tcBorders>
              <w:left w:val="single" w:sz="8" w:color="auto"/>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8"/>
              </w:rPr>
              <w:t>36 mg Q2W</w:t>
            </w:r>
          </w:p>
        </w:tc>
        <w:tc>
          <w:tcPr>
            <w:tcW w:w="98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tcBorders>
          </w:tcPr>
          <w:p>
            <w:pPr>
              <w:jc w:val="center"/>
              <w:ind w:left="991"/>
              <w:spacing w:after="0"/>
              <w:rPr>
                <w:sz w:val="20"/>
                <w:szCs w:val="20"/>
                <w:color w:val="auto"/>
              </w:rPr>
            </w:pPr>
            <w:r>
              <w:rPr>
                <w:rFonts w:ascii="Times New Roman" w:cs="Times New Roman" w:eastAsia="Times New Roman" w:hAnsi="Times New Roman"/>
                <w:sz w:val="18"/>
                <w:szCs w:val="18"/>
                <w:color w:val="auto"/>
                <w:w w:val="97"/>
              </w:rPr>
              <w:t>-45%</w:t>
            </w:r>
          </w:p>
        </w:tc>
        <w:tc>
          <w:tcPr>
            <w:tcW w:w="1140" w:type="dxa"/>
            <w:vAlign w:val="bottom"/>
            <w:tcBorders>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-21%</w:t>
            </w:r>
          </w:p>
        </w:tc>
      </w:tr>
      <w:tr>
        <w:trPr>
          <w:trHeight w:val="186"/>
        </w:trPr>
        <w:tc>
          <w:tcPr>
            <w:tcW w:w="6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 Background therapy defined as concomitant lipid modifying therapy</w:t>
            </w:r>
          </w:p>
        </w:tc>
        <w:tc>
          <w:tcPr>
            <w:tcW w:w="4400" w:type="dxa"/>
            <w:vAlign w:val="bottom"/>
          </w:tcPr>
          <w:p>
            <w:pPr>
              <w:spacing w:after="0"/>
              <w:rPr>
                <w:sz w:val="16"/>
                <w:szCs w:val="16"/>
                <w:color w:val="auto"/>
              </w:rPr>
            </w:pPr>
          </w:p>
        </w:tc>
      </w:tr>
      <w:tr>
        <w:trPr>
          <w:trHeight w:val="392"/>
        </w:trPr>
        <w:tc>
          <w:tcPr>
            <w:tcW w:w="2060" w:type="dxa"/>
            <w:vAlign w:val="bottom"/>
          </w:tcPr>
          <w:p>
            <w:pPr>
              <w:spacing w:after="0"/>
              <w:rPr>
                <w:sz w:val="24"/>
                <w:szCs w:val="24"/>
                <w:color w:val="auto"/>
              </w:rPr>
            </w:pPr>
          </w:p>
        </w:tc>
        <w:tc>
          <w:tcPr>
            <w:tcW w:w="47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17</w:t>
            </w:r>
          </w:p>
        </w:tc>
        <w:tc>
          <w:tcPr>
            <w:tcW w:w="4400" w:type="dxa"/>
            <w:vAlign w:val="bottom"/>
          </w:tcPr>
          <w:p>
            <w:pPr>
              <w:spacing w:after="0"/>
              <w:rPr>
                <w:sz w:val="24"/>
                <w:szCs w:val="24"/>
                <w:color w:val="auto"/>
              </w:rPr>
            </w:pPr>
          </w:p>
        </w:tc>
      </w:tr>
      <w:tr>
        <w:trPr>
          <w:trHeight w:val="979"/>
        </w:trPr>
        <w:tc>
          <w:tcPr>
            <w:tcW w:w="2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Patients on background therapy: placebo (n=11), 9 mg QW (n=8), 18 mg QW (n=9), 27 mg QW (n=10), 36 mg Q2W (n=8)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Patients not on background therapy: placebo (n=6), 9 mg QW (n=8), 18 mg QW (n=8), 27 mg QW (n=6), 36 mg Q2W (n=8)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Responder analysis on primary endpoint of TG reduction demonstrated:</w:t>
      </w:r>
    </w:p>
    <w:p>
      <w:pPr>
        <w:spacing w:after="0" w:line="117" w:lineRule="exact"/>
        <w:rPr>
          <w:sz w:val="20"/>
          <w:szCs w:val="20"/>
          <w:color w:val="auto"/>
        </w:rPr>
      </w:pPr>
    </w:p>
    <w:p>
      <w:pPr>
        <w:ind w:left="1020" w:right="4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significantly higher proportion of patients reached the initial treatment goal of reducing TG &lt; 500 mg/dL on pooled pegozafermin vs. placebo (80% vs. 29%; p&lt;0.001).</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27 mg QW resulted in a significantly higher proportion of patients achieving TG normalization (&lt; 150 mg/dL) vs. placebo (31% vs. 0%; p&lt;0.05)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proportion of patients achieved significant TG reduction of ≥ 50% from baseline vs. placebo (75% vs. 6%; p&lt;0.001).</w:t>
      </w:r>
    </w:p>
    <w:p>
      <w:pPr>
        <w:spacing w:after="0" w:line="17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Pegozafermin treatment also resulted in significant improvements compared to placebo (mean percent change from baseline) and clinically meaningful changes on an absolute basis in non-HDL-C and apo B that are key markers of cardiovascular risk (absolute change from baseline of 55 mg/dL and 22 mg/dL in non-HDL-C and apo B respectively with 27 mg QW dose). As shown in Figure 12 below, patients treated across all doses with pegozafermin also demonstrated an improvement in HDL-C and no change in LDL-C vs. placebo.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12: Mean Percent Change in non-HDL-C and apo B from Baseline at Week 8</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Dosing group</w:t>
            </w:r>
          </w:p>
        </w:tc>
        <w:tc>
          <w:tcPr>
            <w:tcW w:w="3740" w:type="dxa"/>
            <w:vAlign w:val="bottom"/>
            <w:tcBorders>
              <w:top w:val="single" w:sz="8" w:color="auto"/>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non-HDL-C</w:t>
            </w:r>
          </w:p>
        </w:tc>
        <w:tc>
          <w:tcPr>
            <w:tcW w:w="3460" w:type="dxa"/>
            <w:vAlign w:val="bottom"/>
            <w:tcBorders>
              <w:top w:val="single" w:sz="8" w:color="auto"/>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apo B</w:t>
            </w:r>
          </w:p>
        </w:tc>
      </w:tr>
      <w:tr>
        <w:trPr>
          <w:trHeight w:val="21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Placebo</w:t>
            </w:r>
          </w:p>
        </w:tc>
        <w:tc>
          <w:tcPr>
            <w:tcW w:w="374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w:t>
            </w:r>
          </w:p>
        </w:tc>
      </w:tr>
      <w:tr>
        <w:trPr>
          <w:trHeight w:val="235"/>
        </w:trPr>
        <w:tc>
          <w:tcPr>
            <w:tcW w:w="40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9 mg QW</w:t>
            </w:r>
          </w:p>
        </w:tc>
        <w:tc>
          <w:tcPr>
            <w:tcW w:w="374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-14%</w:t>
            </w:r>
          </w:p>
        </w:tc>
        <w:tc>
          <w:tcPr>
            <w:tcW w:w="346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-11%</w:t>
            </w:r>
          </w:p>
        </w:tc>
      </w:tr>
      <w:tr>
        <w:trPr>
          <w:trHeight w:val="241"/>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 mg QW</w:t>
            </w:r>
          </w:p>
        </w:tc>
        <w:tc>
          <w:tcPr>
            <w:tcW w:w="3740" w:type="dxa"/>
            <w:vAlign w:val="bottom"/>
            <w:tcBorders>
              <w:bottom w:val="single" w:sz="8" w:color="auto"/>
            </w:tcBorders>
          </w:tcPr>
          <w:p>
            <w:pPr>
              <w:jc w:val="center"/>
              <w:ind w:right="1550"/>
              <w:spacing w:after="0" w:line="241" w:lineRule="exact"/>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24"/>
                <w:szCs w:val="24"/>
                <w:color w:val="auto"/>
                <w:vertAlign w:val="superscript"/>
              </w:rPr>
              <w:t>**</w:t>
            </w:r>
          </w:p>
        </w:tc>
        <w:tc>
          <w:tcPr>
            <w:tcW w:w="3460" w:type="dxa"/>
            <w:vAlign w:val="bottom"/>
            <w:tcBorders>
              <w:bottom w:val="single" w:sz="8" w:color="auto"/>
            </w:tcBorders>
          </w:tcPr>
          <w:p>
            <w:pPr>
              <w:jc w:val="center"/>
              <w:ind w:right="1430"/>
              <w:spacing w:after="0" w:line="241" w:lineRule="exact"/>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24"/>
                <w:szCs w:val="24"/>
                <w:color w:val="auto"/>
                <w:vertAlign w:val="superscript"/>
              </w:rPr>
              <w:t>*</w:t>
            </w:r>
          </w:p>
        </w:tc>
      </w:tr>
      <w:tr>
        <w:trPr>
          <w:trHeight w:val="23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 mg QW</w:t>
            </w:r>
          </w:p>
        </w:tc>
        <w:tc>
          <w:tcPr>
            <w:tcW w:w="3740" w:type="dxa"/>
            <w:vAlign w:val="bottom"/>
            <w:tcBorders>
              <w:bottom w:val="single" w:sz="8" w:color="auto"/>
            </w:tcBorders>
          </w:tcPr>
          <w:p>
            <w:pPr>
              <w:jc w:val="center"/>
              <w:ind w:right="1510"/>
              <w:spacing w:after="0" w:line="236" w:lineRule="exact"/>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24"/>
                <w:szCs w:val="24"/>
                <w:color w:val="auto"/>
                <w:vertAlign w:val="superscript"/>
              </w:rPr>
              <w:t>***</w:t>
            </w:r>
          </w:p>
        </w:tc>
        <w:tc>
          <w:tcPr>
            <w:tcW w:w="3460" w:type="dxa"/>
            <w:vAlign w:val="bottom"/>
            <w:tcBorders>
              <w:bottom w:val="single" w:sz="8" w:color="auto"/>
            </w:tcBorders>
          </w:tcPr>
          <w:p>
            <w:pPr>
              <w:jc w:val="center"/>
              <w:ind w:right="1390"/>
              <w:spacing w:after="0" w:line="236" w:lineRule="exact"/>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24"/>
                <w:szCs w:val="24"/>
                <w:color w:val="auto"/>
                <w:vertAlign w:val="superscript"/>
              </w:rPr>
              <w:t>**</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 mg Q2W</w:t>
            </w:r>
          </w:p>
        </w:tc>
        <w:tc>
          <w:tcPr>
            <w:tcW w:w="3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w:t>
            </w:r>
          </w:p>
        </w:tc>
        <w:tc>
          <w:tcPr>
            <w:tcW w:w="34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-970915</wp:posOffset>
            </wp:positionV>
            <wp:extent cx="7132320" cy="986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86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p&lt;0.05; ** p&lt;0.01; *** p&lt;0.001 versus placebo based on MMRM analysis</w:t>
      </w:r>
    </w:p>
    <w:p>
      <w:pPr>
        <w:spacing w:after="0" w:line="15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Pegozafermin treatment resulted in a mean relative reduction in liver fat from baseline at week 8 across all dose groups versus placebo in the sub-study of patients with MRI-PDFF. The results are summarized in Figure 13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13: Mean Relative Reduction in Liver Fat vs. Baseline at Week 8 in Sub-study</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Dosing group</w:t>
            </w:r>
          </w:p>
        </w:tc>
        <w:tc>
          <w:tcPr>
            <w:tcW w:w="5360" w:type="dxa"/>
            <w:vAlign w:val="bottom"/>
            <w:tcBorders>
              <w:top w:val="single" w:sz="8" w:color="auto"/>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MRI-PDFF</w:t>
            </w:r>
          </w:p>
        </w:tc>
      </w:tr>
      <w:tr>
        <w:trPr>
          <w:trHeight w:val="217"/>
        </w:trPr>
        <w:tc>
          <w:tcPr>
            <w:tcW w:w="5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Placebo (n=6)</w:t>
            </w:r>
          </w:p>
        </w:tc>
        <w:tc>
          <w:tcPr>
            <w:tcW w:w="536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588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color w:val="auto"/>
              </w:rPr>
              <w:t>9 mg QW (n=3)</w:t>
            </w:r>
          </w:p>
        </w:tc>
        <w:tc>
          <w:tcPr>
            <w:tcW w:w="5360" w:type="dxa"/>
            <w:vAlign w:val="bottom"/>
            <w:tcBorders>
              <w:bottom w:val="single" w:sz="8" w:color="auto"/>
            </w:tcBorders>
          </w:tcPr>
          <w:p>
            <w:pPr>
              <w:jc w:val="right"/>
              <w:ind w:right="2370"/>
              <w:spacing w:after="0" w:line="240" w:lineRule="exact"/>
              <w:rPr>
                <w:sz w:val="20"/>
                <w:szCs w:val="20"/>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24"/>
                <w:szCs w:val="24"/>
                <w:color w:val="auto"/>
                <w:vertAlign w:val="superscript"/>
              </w:rPr>
              <w:t>*</w:t>
            </w:r>
          </w:p>
        </w:tc>
      </w:tr>
      <w:tr>
        <w:trPr>
          <w:trHeight w:val="232"/>
        </w:trPr>
        <w:tc>
          <w:tcPr>
            <w:tcW w:w="5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 mg QW (n=5)</w:t>
            </w:r>
          </w:p>
        </w:tc>
        <w:tc>
          <w:tcPr>
            <w:tcW w:w="536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rPr>
              <w:t>-38%</w:t>
            </w:r>
          </w:p>
        </w:tc>
      </w:tr>
      <w:tr>
        <w:trPr>
          <w:trHeight w:val="236"/>
        </w:trPr>
        <w:tc>
          <w:tcPr>
            <w:tcW w:w="5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 mg QW (n=7)</w:t>
            </w:r>
          </w:p>
        </w:tc>
        <w:tc>
          <w:tcPr>
            <w:tcW w:w="536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color w:val="auto"/>
              </w:rPr>
              <w:t>-44%</w:t>
            </w:r>
          </w:p>
        </w:tc>
      </w:tr>
      <w:tr>
        <w:trPr>
          <w:trHeight w:val="232"/>
        </w:trPr>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 mg Q2W (n=2)</w:t>
            </w:r>
          </w:p>
        </w:tc>
        <w:tc>
          <w:tcPr>
            <w:tcW w:w="536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-970915</wp:posOffset>
            </wp:positionV>
            <wp:extent cx="7132320" cy="985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985520"/>
                    </a:xfrm>
                    <a:prstGeom prst="rect">
                      <a:avLst/>
                    </a:prstGeom>
                    <a:noFill/>
                  </pic:spPr>
                </pic:pic>
              </a:graphicData>
            </a:graphic>
          </wp:anchor>
        </w:drawing>
      </w:r>
    </w:p>
    <w:p>
      <w:pPr>
        <w:ind w:left="120" w:hanging="112"/>
        <w:spacing w:after="0"/>
        <w:tabs>
          <w:tab w:leader="none" w:pos="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p&lt;0.05 versus placebo based on ANCOVA analysis</w:t>
      </w:r>
    </w:p>
    <w:p>
      <w:pPr>
        <w:spacing w:after="0" w:line="99" w:lineRule="exact"/>
        <w:rPr>
          <w:rFonts w:ascii="Times New Roman" w:cs="Times New Roman" w:eastAsia="Times New Roman" w:hAnsi="Times New Roman"/>
          <w:sz w:val="14"/>
          <w:szCs w:val="14"/>
          <w:color w:val="auto"/>
        </w:rPr>
      </w:pPr>
    </w:p>
    <w:p>
      <w:pPr>
        <w:ind w:left="10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proportion of patients responded to therapy with up to 88% and 41% of treated patients vs. 0% of placebo patients achieving a ≥ 30% or a ≥ 50% reduction in liver fat versus baseline, respectively.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also demonstrated a significant reduction in liver enzymes and an improvement in glycemic control markers in pegozafermin treated patients.</w:t>
      </w:r>
    </w:p>
    <w:p>
      <w:pPr>
        <w:spacing w:after="0" w:line="108"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Pegozafermin continues to be generally well tolerated with a favorable safety profile across doses consistent with prior studies. In ENTRIGUE, the most commonly reported treatment-related adverse events were nausea, diarrhea and injection site reactions, all which were classified as mild or moderate. No tremors or transaminase elevation adverse events were observed. There were no drug-related serious adverse events and two Grade 2 treatment-related discontinuations.</w:t>
      </w:r>
    </w:p>
    <w:p>
      <w:pPr>
        <w:spacing w:after="0" w:line="12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2022, we received feedback from the FDA supporting the advancement of pegozafermin into Phase 3 for the treatment of SHTG. The FDA agreed with the proposed primary endpoint of reduction in triglycerides from baseline without the need for a clinical outcome study. The FDA also agreed to the proposed doses and proposed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secondary endpoints and were generally aligned with other trial parameters. Since SHTG is a common, chronic condition and pegozafermin is a novel investigational biologic therapy, and SHTG could be the first indication for pegozafermin, the agency recommended conducting two Phase 3 trials in SHTG, each of one year duration as part of the efficacy and safety database required to support the registration package. In December 2023, we announced a successful end-of-Phase 2 meeting with the FDA for the NASH program, supporting the advancement of pegozafermin into Phase 3 in NASH and two Phase 3 trials are planned to initiate in 2024. We plan to meet with the FDA in 2024 to revisit discussions regarding the registration package requirements for SHTG.</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we initiated the first of two recommended Phase 3 trials in SHTG, ENTRUST. ENTRUST is a randomized, double-blind, placebo-controlled global trial that is planned to enroll up to 360 SHTG patients randomized in a 3:3:2 ratio of pegozafermin (30 mg, 20 mg or placebo) given once weekly (“QW”) by subcutaneous injection for 52 weeks. The primary endpoint is the percent change from baseline in fasting triglycerides at week 26 compared to placebo. Secondary endpoints include the assessment of liver fat measured by magnetic resonance imaging proton density fat fraction (MRI-PDFF), non-high-density lipoprotein cholesterol (non-HDL-C), high-density lipoprotein cholesterol (HDL-C), apolipoprotein B (apo-B), very low-density lipoprotein cholesterol (VLDL-C), HbA1c for those with baseline ≥ 6.5%, and total cholesterol (TC) at week 26 compared to placebo. We expect to report topline results from our Phase 3 ENTRUST trial in 2025. The trial design is shown in Figure 14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14: ENTRUST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122555</wp:posOffset>
            </wp:positionV>
            <wp:extent cx="5271770" cy="257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7177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Teva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Relating to FGF21 Program</w:t>
      </w:r>
    </w:p>
    <w:p>
      <w:pPr>
        <w:spacing w:after="0" w:line="17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April 2018, we entered into an Asset Transfer and License Agreement (the “FGF21 Agreement”) with Teva Pharmaceutical Industries Ltd (“Teva”), under which we acquired certain patents, intellectual property and other assets relating to Teva’s glycoPEGylated FGF21 program. Under this agreement, Teva also granted a perpetual, non-exclusive (but exclusive as to pegozafermin), non-transferable, worldwide license to patents and know-how related to glycoPEGylation technology for use in the research, development, manufacture and commercialization of the compound pegozafermin and products containing pegozafermin. In addition, we entered into a Sublicense Agreement with ratiopharm (the “ratiopharm Sublicense”), under which we were granted a perpetual, exclusive, worldwide sublicense to patents and know-how related to glycoPEGylation technology used in the development, manufacture and commercialization of pegozafermin and products containing pegozafermin.</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14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Under the FGF21 Agreement, we are obligated to use commercially reasonable efforts to develop and commercialize pegozafermin in each of the United States and five major European countries. We have the right to sublicense all rights licensed to us by Teva under the FGF21 Agreement.</w:t>
      </w:r>
    </w:p>
    <w:p>
      <w:pPr>
        <w:spacing w:after="0" w:line="10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Pursuant to the FGF21 Agreement and the FASN Agreement (as defined and described below), we paid Teva a nonrefundable upfront payment of $6.0 million. In addition, under each agreement, we are required to pay Teva $2.5 million upon the achievement of a specified clinical development milestone, and additional payments totaling up to $65.0 million upon achievement of certain commercial milestones. In the fourth quarter of 2023, we made a $2.5 million milestone payment to Teva under the FGF21 Agreement following the achievement of a clinical development milestone related to our ENTRUST clinical trial in SHTG. We are also obligated to pay Teva tiered royalties at percentages in the low-to-mid single-digits on worldwide net sales of products containing pegozafermin. Our royalty obligations will terminate, on a product-by-product and country-by-country basis, at the later of: (1) the date of expiration of the last to expire valid claim in the assigned patents that covers pegozafermin in such country, (2) the expiration of data or regulatory exclusivity for pegozafermin in such country and (3) 10 years from the first commercial sale of pegozafermin in such country. We are not required to make any payments to ratiopharm pursuant to the ratiopharm Sublicense.</w:t>
      </w:r>
    </w:p>
    <w:p>
      <w:pPr>
        <w:spacing w:after="0" w:line="13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term of the FGF21 Agreement will continue, on a product-by-product and country-by-country basis, until the royalty term with respect to pegozafermin in such country expires. The ratiopharm Sublicense will continue until terminated in accordance with its terms. We may terminate the FGF21 Agreement and the ratiopharm Sublicense for any reason. Either party may terminate the FGF21 Agreement for cause for the other party’s uncured material breach. ratiopharm may terminate the ratiopharm Sublicense for certain material breaches by us. Either party may terminate the FGF21 Agreement or the ratiopharm Sublicense in the event of bankruptcy of the other party. Teva may terminate the FGF21 Agreement if we challenge the validity of any patent licensed to us under the FGF21 Agreement. Termination of the FGF21 Agreement or the ratiopharm Sublicense will impact our rights under the intellectual property licensed to us by Teva and ratiopharm, respectively, but will not affect our rights under the assets assigned to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FASN Agreements</w:t>
      </w:r>
    </w:p>
    <w:p>
      <w:pPr>
        <w:spacing w:after="0" w:line="11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April 2018, we entered into an Asset Transfer and License Agreement with Teva under which we acquired from Teva patents, intellectual property and other assets relating to Teva’s development program of small molecule inhibitors of FASN (the “FASN Agreement”). Under the FASN Agreement we are obligated to use commercially reasonable efforts to develop and commercialize FASN in the United States and five major European countries. We have the right to sublicense all rights licensed to us by Teva under the FASN Agreement.</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the FASN Agreement and the FGF21 Agreement (as described above), we paid Teva a nonrefundable upfront payment of $6.0 million. In addition, under each agreement, we are required to pay Teva $2.5 million upon the achievement of a specified clinical development milestone, and additional payments totaling up to $65.0 million upon achievement of certain commercial milestones. We are also obligated to pay Teva tiered royalties at percentages in the low-to-mid single-digits on worldwide net sales of products arising from the FASN program. Our royalty obligations will terminate, on a product-by-product and country-by-country basis, at the later of: (1) the date of expiration of the last to expire valid claim in the assigned patents that covers FASN in such country, (2) the expiration of data or regulatory exclusivity for such product arising from the FASN program in such country and (3) 10 years from the first commercial sale of a product arising from the FASN program in such country. To date, no milestone or royalty payments have been made under the FASN Agreement.</w:t>
      </w:r>
    </w:p>
    <w:p>
      <w:pPr>
        <w:spacing w:after="0" w:line="19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term of the FASN Agreement will continue, on a product-by-product and country-by-country basis, until the royalty term with respect to the product arising from the FASN program in such country expires. We may terminate the FASN Agreement for any reason. Either party may terminate the agreement for cause for the other party’s uncured material breach, or in the event of bankruptcy of the other party.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2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regulations. The process of obtaining regulatory approvals and the subsequence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Generally, this process involves completing pre-clinical laboratory studies before the FDA will allow human clinical trials to commence. We are then required to complete human clinical trials to demonstrate that a product candidate is safe and effective. Following the completion of these clinical trials, we are required to prepare and submit a biologics license application (“BLA”), which presents the FDA with detailed clinical and safety data, as well as manufacturing data. As part of the review of a BLA, the FDA may inspect manufacturing facilities to assure the facilities, methods and controls are adequate to preserve the biological product’s continued safety, purity and potency, and may also inspect selected clinical investigation sites to assess compliance with current Good Clinical Practices (“cGCP”). This process takes many years from inception through filing of a BLA application and the likelihood of success is highly uncertain.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we must submit an investigational new drug (“IND”) application to the FDA. An IND is a request for authorization from the FDA to administer an investigational new drug product to humans. The central focus of an IND submission is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a partial or full clinical hold and the IND sponsor and the FDA must resolve any outstanding concerns or questions before the clinical trial can begin. Submission of an IND therefore may or may not result in FDA authorization to begin a clinical trial. Submission of an IND may or may not result in FDA authorization to begin a clinical trial.</w:t>
      </w:r>
    </w:p>
    <w:p>
      <w:pPr>
        <w:spacing w:after="0" w:line="13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Furthermore, an institutional review board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67" w:lineRule="exact"/>
        <w:rPr>
          <w:sz w:val="20"/>
          <w:szCs w:val="20"/>
          <w:color w:val="auto"/>
        </w:rPr>
      </w:pPr>
    </w:p>
    <w:p>
      <w:pPr>
        <w:ind w:left="1020" w:right="40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—The investigational product is initially introduced into healthy human subjects or patients with the target disease or condition.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16" w:lineRule="exact"/>
        <w:rPr>
          <w:rFonts w:ascii="Times New Roman" w:cs="Times New Roman" w:eastAsia="Times New Roman" w:hAnsi="Times New Roman"/>
          <w:sz w:val="18"/>
          <w:szCs w:val="18"/>
          <w:color w:val="auto"/>
        </w:rPr>
      </w:pPr>
    </w:p>
    <w:p>
      <w:pPr>
        <w:jc w:val="both"/>
        <w:ind w:left="1020" w:right="34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—The investigational product is administered to a limited patient population with a specified disease or condition to evaluate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36" w:lineRule="exact"/>
        <w:rPr>
          <w:sz w:val="20"/>
          <w:szCs w:val="20"/>
          <w:color w:val="auto"/>
        </w:rPr>
      </w:pPr>
    </w:p>
    <w:p>
      <w:pPr>
        <w:ind w:left="1020" w:right="40" w:hanging="503"/>
        <w:spacing w:after="0" w:line="26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—The investigational product is administered to an expanded patient population to further evaluate dosage, to provide statistically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2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Concurrent with clinical trials, companies must finalize a process for manufacturing the product in commercial quantities in accordance with current good manufacturing practices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w:t>
      </w:r>
    </w:p>
    <w:p>
      <w:pPr>
        <w:spacing w:after="0" w:line="12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Good Clinical Practice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7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submission of a BLA requires payment of a substantial application user fee to FDA, unless a waiver or exemption applies.</w:t>
      </w:r>
    </w:p>
    <w:p>
      <w:pPr>
        <w:spacing w:after="0" w:line="12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may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4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After the FDA evaluates a BLA and conducts necessary inspections, the FDA may either issue an approval letter or a Complete Response letter. An approval letter authorizes commercial marketing of the product with specific prescribing information for specific indications. A Complete Response letter will describe deficiencies that the FDA has identified in the BLA. The FDA may delay or refuse approval of a BLA if applicable regulatory criteria are not satisfied, require additional testing or information and/or require post-marketing testing and surveillance to monitor safety or efficacy of a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or companies may voluntarily pursue,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 for Serious Conditions</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These programs can significantly reduce the time it takes for the FDA to review a BLA, but they do not guarantee that a product will receive FDA approval. Even if a product qualifies initially, the FDA may later decide that the product no longer meets the conditions for qualification or decide that the time period for FDA review will not be shortened. The Consolidated Appropriations Act 2023 strengthens the FDA’s authority to require and regulate post-approval studies of accelerated approval drugs and to expedite the rescission of accelerated approval based on these post-approval studies.</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subject to prior FDA review and approval. Biologic manufacturers and their subcontractors are required to register their establishments with the FDA and certain state agencies, and are subject to periodic unannounced inspections by the FDA and certain state agencies for compliance with cGMP.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companies and third-party manufacturers. Accordingly, manufacturers must continue to expend time, money and effort in the area of production and quality control to maintain compliance with cGMP and other aspects of regulatory compliance.</w:t>
      </w:r>
    </w:p>
    <w:p>
      <w:pPr>
        <w:spacing w:after="0" w:line="1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among other potential consequences.</w:t>
      </w:r>
    </w:p>
    <w:p>
      <w:pPr>
        <w:spacing w:after="0" w:line="129"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(collectively, the “Affordable Care Act”) includes a provision called the Biologics Price Competition and Innovation Act of 2009 (“BPCIA”), which created an abbreviated approval pathway for biological products that are biosimilar to or interchangeable with an FDA-approved reference biological product.</w:t>
      </w:r>
    </w:p>
    <w:p>
      <w:pPr>
        <w:spacing w:after="0" w:line="12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w:t>
      </w:r>
    </w:p>
    <w:p>
      <w:pPr>
        <w:spacing w:after="0" w:line="108"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w:t>
      </w:r>
    </w:p>
    <w:p>
      <w:pPr>
        <w:spacing w:after="0" w:line="2" w:lineRule="exact"/>
        <w:rPr>
          <w:sz w:val="20"/>
          <w:szCs w:val="20"/>
          <w:color w:val="auto"/>
        </w:rPr>
      </w:pPr>
    </w:p>
    <w:p>
      <w:pPr>
        <w:ind w:right="80" w:firstLine="8"/>
        <w:spacing w:after="0" w:line="255"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after the resolution in the applicant’s favor of a lawsuit challenging the biologics’ patents if an application has been submitted, or (iv) 42 months after the application has been approved if a lawsuit is ongoing within the 42-month period. At this juncture, it is unclear whether products deemed “interchangeable” by the FDA will, in fact, be readily substituted by pharmacies, which are governed by state pharmacy law.</w:t>
      </w:r>
    </w:p>
    <w:p>
      <w:pPr>
        <w:spacing w:after="0" w:line="13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2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discussed below, the Inflation Reduction Act of 2022 (“IRA”) is a significant new law that intends to foster generic and biosimilar competition and to lower drug and biologic costs.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 w:name="page25"/>
    <w:bookmarkEnd w:id="24"/>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Some of our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and the approval of that application. Only one patent applicable to an approved product is eligible for the extension and the application for the extension must be submitted prior to the expiration of the patent. The USPTO in consultation with the FDA, reviews and approves the application for any patent term extension or restoration. Thus, for each approved product, we may apply for restoration of patent term for one of our related owned or licensed patents to add patent life beyond the original expiration date, depending on the expected length of the clinical studies and other factors involved in the filing of the relevant BLA.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(“HIPAA”) and similar foreign, federal and state fraud, abuse and transparency laws.</w:t>
      </w:r>
    </w:p>
    <w:p>
      <w:pPr>
        <w:spacing w:after="0" w:line="1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federal AKS prohibits, among other things, any person or entity from knowingly and willfully offering, paying, soliciting or receiving any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Our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w:t>
      </w:r>
    </w:p>
    <w:p>
      <w:pPr>
        <w:spacing w:after="0" w:line="138"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The federal false claims laws, including the FCA, which imposes significant penalties and can be enforced by private citizens through civil qui tam actions, and civil monetary penalty laws prohibit any person or entity from, among other things, knowingly presenting, or causing to be presented, a false or fraudulent claim for payment of federal government funds, including federal healthcare programs, such as Medicare and Medicaid.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The FCA imposes mandatory treble damages and per-violation civil penalties up to approximately $25,000.</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p>
    <w:p>
      <w:pPr>
        <w:spacing w:after="0" w:line="12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08"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The U.S. federal Physician Payments Sunshine Act requires certain manufacturers of drugs and biologics covered by Medicare, Medicaid or the Children’s Health Insurance Program, with specific exceptions, to annually report to the Centers for Medicare &amp; Medicaid Services (“CMS”) information related to payments or other transfers of value made to various healthcare professionals including physicians, physician assistants, nurse practitioners,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clinical nurse specialists, certified nurse anesthetists, certified nurse-midwives and teaching hospitals, as well as ownership and investment interests held by physicians and their immediate family members.</w:t>
      </w:r>
    </w:p>
    <w:p>
      <w:pPr>
        <w:spacing w:after="0" w:line="10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Ensuring business arrangements with third parties comply with applicable healthcare laws and regulations is a difficult and costly endeavor. If our operations are found to be in violation of any of the federal and state healthcare laws described above or any other current or future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our operations or the operations of our partners. Entities that are found to be in violation of HIPAA or other laws may be subject to significant civil, criminal and administrative fines and penalties and/or additional reporting and oversight obligations. Further, entities that knowingly obtain, use, or disclose certain individually identifiable health information in an improper fashion may be subject to criminal penalties.</w:t>
      </w:r>
    </w:p>
    <w:p>
      <w:pPr>
        <w:spacing w:after="0" w:line="13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at the federal level, the regulations promulgated under HIPAA, as amended by the Health Information Technology for Economic and Clinical Health Act of 2009 (“HITECH Act”), impose data privacy, security and data breach reporting obligations with respect to protected health information (“PHI”) on covered entities—which include health plans, healthcare clearinghouses and certain healthcare providers—and business associates—which include persons or entities that perform certain functions or activities that involve the use or disclosure of PHI on behalf of, or in connection with providing a service for, a covered entity.</w:t>
      </w:r>
    </w:p>
    <w:p>
      <w:pPr>
        <w:spacing w:after="0" w:line="1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These requirements imposed by HIPAA and the HITECH Act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w:t>
      </w:r>
    </w:p>
    <w:p>
      <w:pPr>
        <w:spacing w:after="0" w:line="13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Significant civil and criminal fines and other penalties may be imposed for violating HIPAA.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we submit electronic healthcare claims and payment transactions that do not comply with the electronic data transmission standards established under HIPAA and HITECH, payments to us may be delayed or denied.</w:t>
      </w:r>
    </w:p>
    <w:p>
      <w:pPr>
        <w:spacing w:after="0" w:line="13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are also a number of U.S. state privacy laws, such as the California Consumer Privacy Act of 2018 (“CCPA”), as amended by the California Privacy Rights Act of 2020 (“CPRA”), that govern the privacy and security of personal information in certain circumstances. The CCPA/CPRA applies to personal data of consumers, business representatives, and employees, and imposes obligations on certain businesses that do business in California, including to provide specific disclosures in privacy notices, rights to California residents in relation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their personal information. Health information falls under the CCPA/CPRA’s definition of personal information where it identifies, relates to, describes, or is reasonably capable of being associated with or could reasonably be linked with a particular consumer or household—unless it is subject to HIPAA—and is included under a new category of personal information, “sensitive personal information,” which is offered greater protection. Some of these laws and regulations impose different, and in certain instances, more stringent requirements than HIPAA. Failing to comply with these laws and regulations can result in significant civil and/or criminal penalties, as well as exposure to private litigation, all of which can result in financial and reputational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private health insurers and other organizations. Adequate coverage and reimbursement from governmental healthcare programs, such as Medicare and Medicaid in the United States, and commercial payors are critical to new product acceptance.</w:t>
      </w:r>
    </w:p>
    <w:p>
      <w:pPr>
        <w:spacing w:after="0" w:line="13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3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Recently, the U.S. government passed the IRA, which authorizes the U.S. Department of Health and Human Services to negotiate prices of certain drugs with participating manufacturers in federal healthcare programs.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These price negotiations began in 2023. The IRA also provides a new “inflation rebate” covering Medicare patients that took effect in 2023 and is intended to counter certain price increases in prescriptions drugs. The inflation rebate provision will require drug manufacturers to pay a rebate to the federal government if the price for a drug or biologic under Medicare Part B and Part D increases faster than the rate of inflation. To support biosimilar competition, beginning in October 2022, qualifying biosimilars whose average sales price (“ASP”) is less than the ASP of its biologic reference product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33"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For example, the Affordable Care Act has substantially changed healthcare financing and delivery by both governmental and private insurers. The Affordable Care Act and its implementing regulations, among other things, revised the methodology for calculating rebates for covered outpatient drugs and certain biologics owed by manufacturers to the state and federal government under the Medicaid Drug Rebate Program,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expanded programs designed to test innovative payment models, service delivery models, or value-based arrangements, and fund comparative effectiveness research.</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anticipate that the Affordable Care Act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3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further legislation or regulation could be passed that could harm our business, financial condition and results of operations. Other legislative changes have been proposed and adopted since the Affordable Care Act was enacted.</w:t>
      </w:r>
    </w:p>
    <w:p>
      <w:pPr>
        <w:spacing w:after="0" w:line="108"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Notwithstanding the IRA, continued legislative and enforcement interest exist in the United States with respect to specialty drug pricing practices. Specifically,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and Biologic Development Process in the European Union</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conduct of clinical trials in the EU is governed by the EU Clinical Trials Regulation (EU) No. 536/2014 (“CTR”) which entered into force on January 31, 2022. Under the CTR, a sponsor will be able to submit a single application for approval of a clinical trial through a centralized EU clinical trials portal. One national regulatory authority (the reporting EU member state proposed by the applicant) will take the lead in validating and evaluating the application consult and coordinate with the other concerned member states. If an application is rejected, it may be amended and resubmitted through the EU clinical trials portal. If an approval is issued, the sponsor may start the clinical trial in all concerned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w:t>
      </w:r>
    </w:p>
    <w:p>
      <w:pPr>
        <w:spacing w:after="0" w:line="13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National laws, regulations and the applicable cGCP and Good Laboratory Practice standards must also be respected during the conduct of the trials, including the International Council for Harmonization of Technical Requirements for Pharmaceuticals for Human Use guidelines on Good Clinical Practice and the ethical principles that have their origin in the Declaration of Helsinki.</w:t>
      </w:r>
    </w:p>
    <w:p>
      <w:pPr>
        <w:spacing w:after="0" w:line="12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Marketing Authorization in the European Union</w:t>
      </w:r>
    </w:p>
    <w:p>
      <w:pPr>
        <w:spacing w:after="0" w:line="17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EU and in Iceland, Norway and Liechtenstein (together the European Economic Area or “EEA”), after completion of all required clinical testing, pharmaceutical products may only be placed on the market after obtaining a Marketing Authorization (“MA”). To obtain an MA of a drug under European Union regulatory systems, an applicant can submit an MAA through, amongst others, a centralized or decentralized procedure.</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(“EC”) that is valid for all EU Member States and, after respective national implementing decisions, in the three additional EEA Member States. The centralized procedure is compulsory for specific medicinal products, including for medicines developed by means of certain biotechnological processes, products designated as orphan medicinal products, advanced therapy medicinal products and medicinal products with a new active substance indicated for the treatment of certain diseases (AIDS, cancer, neurodegenerative disorders, diabetes, auto-immune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marketing authorization through the centralized procedure.</w:t>
      </w:r>
    </w:p>
    <w:p>
      <w:pPr>
        <w:spacing w:after="0" w:line="13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assessment might be granted by the CHMP in exceptional cases when a medicinal product is expected to be of major public health interest, particularly from the point of view of therapeutic innovation. On request, the CHMP can reduce the time frame to 150 days if the applicant provides sufficient justification for an accelerated assessment. The CHMP will provide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positive opinion regarding the application only if it meets certain quality, safety and efficacy requirements. However, the EC has final authority for granting the MA within 67 days after receipt of the CHMP opinion.</w:t>
      </w:r>
    </w:p>
    <w:p>
      <w:pPr>
        <w:spacing w:after="0" w:line="10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known as the reference EU Member State, is appointed to review the application and provide an assessment report. Under this procedure, an applicant submits an application based on identical dossiers and related materials, including a draft summary of product characteristics, and draft labeling and package leaflet, to the reference EU Member State and concerned EU Member States. The reference EU Member State prepares a draft assessment report and drafts of the related materials within 120 days after receipt of a valid application. Subsequently each concerned EU Member State must decide whether to approve the assessment report and related materials. If an EU Member State cannot approve the assessment report and related materials on the grounds of potential serious risk to public health, the disputed points are subject to a dispute resolution mechanism and may eventually be referred to the EC, whose decision is binding for all EU Member States.</w:t>
      </w:r>
    </w:p>
    <w:p>
      <w:pPr>
        <w:spacing w:after="0" w:line="14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New RMPs are required to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to only limited redactions.</w:t>
      </w:r>
    </w:p>
    <w:p>
      <w:pPr>
        <w:spacing w:after="0" w:line="13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 Exclusivity in the European Union</w:t>
      </w:r>
    </w:p>
    <w:p>
      <w:pPr>
        <w:spacing w:after="0" w:line="1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in the United States, it may be possible to obtain a period of market and/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New Chemical Entities (“NCE”) approved in the EU qualify for eight years of data exclusivity and 10 years of marketing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-634365</wp:posOffset>
            </wp:positionV>
            <wp:extent cx="28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applicant for or holder of market authorization for a change of classification of the same substance the competent authority will not refer to the results of those tests or trials for one year after the initial change was authorized).</w:t>
      </w:r>
    </w:p>
    <w:p>
      <w:pPr>
        <w:spacing w:after="0" w:line="10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Products may not be granted data exclusivity since there is no guarantee that a product will be considered by the European Union’s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spacing w:after="0" w:line="12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April 26, 2023, the EC submitted a proposal for the reform of the European pharmaceutical legislation. The current draft envisages a shortening of the periods of data exclusivity, however, there is currently neither a final version of this draft nor a date for its entry into 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Laws</w:t>
      </w:r>
    </w:p>
    <w:p>
      <w:pPr>
        <w:spacing w:after="0" w:line="17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data in the EU is governed by the provisions of the European General Data Protection Regulation (EU) 2016/679 (“GDPR”) and related data protection laws in individual EU Member States</w:t>
      </w:r>
      <w:r>
        <w:rPr>
          <w:rFonts w:ascii="Times New Roman" w:cs="Times New Roman" w:eastAsia="Times New Roman" w:hAnsi="Times New Roman"/>
          <w:sz w:val="18"/>
          <w:szCs w:val="18"/>
          <w:u w:val="single" w:color="auto"/>
          <w:color w:val="auto"/>
        </w:rPr>
        <w:t>.</w:t>
      </w:r>
    </w:p>
    <w:p>
      <w:pPr>
        <w:spacing w:after="0" w:line="10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GDPR imposes a number of strict obligations and restrictions on the ability to process (processing includes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the security and confidentiality of the personal data. EU Member States may also impose additional requirements in relation to health, genetic and biometric data through their national legislation.</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GDPR imposes specific restrictions on the transfer of personal data to countries outside of the EEA that are not considered by the EC to provide an adequate level of data protection. Appropriate safeguards are required to enable such transfers. Among the appropriate safeguards that can be used, the data exporter may use the standard contractual clauses (“SCCs”). When relying on SCCs, the data exporters are also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On June 18, 2021, the European Data Protection Board adopted recommendations to assist data exporters with such assessment and their duty to identify and implement supplementary measures where they are needed to ensure compliance with the EU level of protection to the personal data they transfer to third countries. With regard to the transfer of personal data from the EEA to the United States, on July 10, 2023, the EC adopted its adequacy decision for the EU-US Data Privacy Framework. On the basis of the new adequacy decision, personal data can flow from the EEA to U.S. companies participating in the framework.</w:t>
      </w:r>
    </w:p>
    <w:p>
      <w:pPr>
        <w:spacing w:after="0" w:line="13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 Guidance developed at both the EU level and at the national level in individual EU Member States concerning implementation and compliance practices are often updated or otherwise revised.</w:t>
      </w:r>
    </w:p>
    <w:p>
      <w:pPr>
        <w:spacing w:after="0" w:line="135"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Furthermore, there is a growing trend towards the required public disclosure of clinical trial data in the EU, which adds to the complexity of obligations relating to processing health data from clinical trials. Such public disclosure obligations are provided in the new EU CTR, EMA disclosure initiatives and voluntary commitments by industry. Failing to comply with these obligations could lead to government enforcement actions and significant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penalties against us, harm to our reputation, and adversely impact our business and operating results. The uncertainty regarding the interplay between different regulatory frameworks, such as the CTR and the GDPR, further adds to the complexity that we face with regard to data protection regulation.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foregoing, local, state and federal laws, including in the United States and Israel,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or biohazardous substances, we could be liable for damages, environmental remediation, and/or governmental fines. We believe that we are in material compliance with applicable environmental laws and occupational health and safety laws that continued compliance therewith will not have a material adverse effect on our business. We cannot predict, however, how changes in these laws may affect our future operations. We may incur significant costs to comply with such laws and regulations now or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innovation and significant technological advancements. We believe the key competitive factors that will affect the development and commercial success of pegozafermin and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 Given the high incidence of NASH, it is likely that the number of companies seeking to develop products and therapies for the treatment of liver and cardio-metabolic diseases, such as NASH, will increase.</w:t>
      </w:r>
    </w:p>
    <w:p>
      <w:pPr>
        <w:spacing w:after="0" w:line="138"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7"/>
          <w:szCs w:val="17"/>
          <w:color w:val="auto"/>
        </w:rPr>
        <w:t>If pegozafermin is approved for the treatment of NASH, future competition could also arise from select products currently in development, including, but not limited to: Firsocostat/GS-0976, an ACC inhibitor, and Cilofexor/GS-9674, an FXR agonist, from Gilead Sciences, Inc.; Ervogastat/PF-06865571, a DGAT2 inhibitor, and Clesacostat/PF-05221304, an ACC inhibitor from Pfizer Inc.; Resmetirom, a beta-thyroid hormone receptor agonist from Madrigal Pharmaceuticals, Inc.; VK2809, a beta-thyroid hormone receptor agonist from Viking Therapeutics, Inc.; Denifanstat, a selective FASN inhibitor from Sagimet Biosciences Inc.; Efruxifermin, a FGF21 analog from Akero Therapeutics, Inc.; Belapectin, a Galectin-3 inhibitor from Galectin Therapeutics Inc.; Semaglutide, a GLP-1 receptor agonist from Novo Nordisk A/S; Pemvidutide/ALT-801, a dual GLP-1/glucagon agonist from Altimmune; Tirzepatide, a dual GIP/GLP-1 receptor agonist from Eli Lilly and Company; Survodutide, a glucagon/GLP-1 receptor dual agonist from Boehringer Ingelheim; Retatrutide/LY3437943, an agonist of the glucose-dependent insulinotropic polypeptide, glucagon-like peptide 1, and glucagon receptors from Eli Lilly and Company; Efinopegdutide, a dual GLP-1/glucagon receptor agonist, from Merck; Lanifibranor, a PPAR alpha/delta/gamma agonist from Inventiva; NNC0194-0499, an FGF21 analog from Novo Nordisk; and BOS-580, an FGF21 analog from Boston Pharmaceuticals.</w:t>
      </w:r>
    </w:p>
    <w:p>
      <w:pPr>
        <w:spacing w:after="0" w:line="12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pegozafermin is approved for the treatment of SHTG, we would face competition from currently approved and marketed products, including, but not limited to, statins, fibrates, Vascepa (Pure EPA), and Lovaza (EPA and DHA), as well as generic products. Further competition could arise from products currently in development, including: Olezarsen/AKCEA-APOCIII-LRx, an APOC3 inhibitor from Ionis; Evinacumab, an Anti-ANGPTL3 from Regeneron Pharmaceuticals, Inc.; and plozasiran, an ApoC-III inhibitor from Arrowhead Pharmaceuticals, Inc.</w:t>
      </w:r>
    </w:p>
    <w:p>
      <w:pPr>
        <w:spacing w:after="0" w:line="12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Many of our competitors have established distribution channels for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commercialization of their products, whereas we have no such channel or capabilities. In addition, many competitors have greater name recognition and more extensive collaborative relationships. As a result, 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175"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We do not own or operate manufacturing facilities for the production of pegozafermin, nor do we have plans to develop our own manufacturing operations in the foreseeable future. We currently rely, and expect to continue to rely, on third parties for the manufacturing of our product candidates for preclinical and clinical testing, as well as for commercial manufacturing if pegozafermin or any future product candidate receives marketing approval.</w:t>
      </w:r>
    </w:p>
    <w:p>
      <w:pPr>
        <w:spacing w:after="0" w:line="10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Pegozafermin drug substance is manufactured by fermentation of a recombinant strain of the bacterium E. coli. Product accumulates as insoluble particles (inclusion bodies) within the cells and is recovered by cell disruption, followed by solubilization of the inclusion bodies, protein refolding and purification with two chromatographic separation columns. Purified material is glycoPEGylated in a 2-step enzymatic reaction where a 20kDa linear glycoPEG moiety is attached to the protein through GalNAc and Sialic Acid linkers.</w:t>
      </w:r>
    </w:p>
    <w:p>
      <w:pPr>
        <w:spacing w:after="0" w:line="12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GlycoPEGylated protein is purified with two chromatographic columns to yield product with target quality attributes. Purified glycoPEGylated protein is concentrated and then formulated to a target concentration with formulation buffer as drug product.</w:t>
      </w:r>
    </w:p>
    <w:p>
      <w:pPr>
        <w:spacing w:after="0" w:line="10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Northway Biotechpharma (“BTPH”) is currently our sole source supplier for pegozafermin. Any reduction or halt in supply of drug substance from BTPH could limit our ability to develop pegozafermin until a replacement contract manufacturer is found and qualified. We are working with BTPH and a second CMO, BiBo Biopharma Engineering Co., Ltd. (“BiBo”), on process optimization to support large-scale production for future trials and commercialization.</w:t>
      </w:r>
    </w:p>
    <w:p>
      <w:pPr>
        <w:spacing w:after="0" w:line="12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successfully developed two refrigerated liquid formulations. These formulations are approved by the FDA and are currently in use in our trials. In addition, we have entered into a contract with two commercial fill vendors. We may in the future develop an autoinjector to deliver the liquid formulations.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Development Agreements</w:t>
      </w:r>
    </w:p>
    <w:p>
      <w:pPr>
        <w:spacing w:after="0" w:line="1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 May 2018, we entered into a master services agreement with BTPH, under which BTPH agreed to provide us certain services, including development, manufacturing, and storing of pegozafermin, under statements of work for such services to be agreed by the parties from time to time. In February 2023, we entered into a similar agreement with BiBo for larger commercial scale manufacturing.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In order to commercialize any products that are approved for commercial sale, we must either develop a sales and marketing infrastructure or collaborate with third parties that have sales and marketing experience.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14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elect to establish our own sales force to market and sell a product for which we obtain regulatory approval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12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plan to seek third-party support from established pharmaceutical and biotechnology companies for those products that would benefit from the promotional support of a large sales and marketing force. In these cases, we might seek to promote our products in collaboration with marketing partners or rely on relationships with one or more companies with large established sales forces and distribution systems.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As we continue the development of our product candidates, we plan to identify additional means of obtaining patent protection that would potentially enhance commercial success, including pursuit of claims directed to new therapeutic indications.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FGF21 Patents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FGF21 patent portfolio includes eight families:</w:t>
      </w:r>
    </w:p>
    <w:p>
      <w:pPr>
        <w:spacing w:after="0" w:line="17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first family is entitled “Remodeling and GlycoPEGylation of Fibroblast Growth Factor (FGF)”. This patent family provides granted patent protection in 39 countries around the globe, including the United States (U.S. Patent Number 9,200,049, expiry date: June 25, 2028; and U.S. Patent Number 10,874,714, expiry date: October 10, 2028), Canada, Europe (broadly), and Japan (latter three expire October 31, 2025) for FGF21 conjugates comprising a variety of modifying groups that can be attached at several different amino acid positions. GlycoPEGylated FGF21 is specifically claimed. The granted claims broadly protect our lead drug candidate pegozafermin and pharmaceutical compositions thereof, as well as methods for making and using pegozafermin to treat FGF21 deficiency in a patient in need thereof.</w:t>
      </w:r>
    </w:p>
    <w:p>
      <w:pPr>
        <w:spacing w:after="0" w:line="13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second family is entitled “Mutant FGF-21 Peptide Conjugate and Uses Thereof” and is specifically directed to pegozafermin. The Patent Cooperation Treaty (“PCT”) Patent Application for this family was filed on September 4, 2018 (PCT/IB2018/00112). A U.S. Prioritized Examination Continuation Patent Application (Application Serial No. 16/225,640) was filed on December 19, 2018 as a continuation of PCT/IB2018/0112 and from which U.S. Patent Number 10,407,479 was issued on September 10, 2019. The term of the U.S. Patent Number 10,407,479 is September 4, 2038. The issued claims are directed to pegozafermin and a defined genus specifically encompassing pegozafermin and compositions thereof (including site-specific mutations at positions 173 and 176), as well as methods for making and using pegozafermin for a variety of therapeutic indications. Such indications include methods for treating NASH or metabolic syndrome. Subjects where there is a need to reduce blood glucose or to reduce HbA1C include those afflicted with diabetes Type 2, NASH and metabolic syndrome. The claims encompass different therapeutic regimens for administering pegozafermin (e.g., once a week or once every two weeks), which regimens are based on pegozafermin’s long half-life in vivo. This patent family provides granted patent protection of pegozafermin in 24 ex-United States jurisdictions around the globe: Australia, Canada, China, Europe (broadly), Israel, Japan, Korea and Hong Kong (expiry date: September 4, 2038). One U.S. Patent Application and one China Patent Application are pending in this family.</w:t>
      </w:r>
    </w:p>
    <w:p>
      <w:pPr>
        <w:spacing w:after="0" w:line="13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third family is entitled “Methods Of Treatment Using Mutant FGF-21 Peptide Conjugates”. This patent family provides granted patent protection in the United States with claims directed to dosage regimen for treating NASH (U.S. Patent Number 11,427,623). The term of the U.S. Patent Number 11,427,623 is September 4, 2038. One U.S. Patent Application is pending in this family.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fourth family is entitled “Methods for promoting weight loss”. A PCT application was filed January 29, 2021 (PCT/IB2021/000044) with claims directed towards method to reduce total body weight, body fat content and/or BMI. A United States National phase application was filed July 20, 2022 and is pending.</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fifth family is entitled “Liquid Formulations Comprising Mutant FGF-21 Peptide Pegylated Conjugates” with claims directed to on stable liquid formulation of FGF21. A PCT Patent Application for this family was filed on March 10, 2022. A U.S. Prioritized Examination Patent Application was filed on March 10, 2022 and U.S. Patent Number 11,596,669 was issued on March 7, 2023. The term of the U.S. Patent Number 11,596,669 is March 10, 2042.</w:t>
      </w:r>
    </w:p>
    <w:p>
      <w:pPr>
        <w:spacing w:after="0" w:line="1"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The issued claims are directed to pegozafermin liquid formulations. One U.S. patent application is pending. This patent family also includes six patent applications in ex-United States jurisdictions (Australia, Canada, China, Europe, Israel and Japan). We will continue to file patent applications to cover various formulations of FGF21.</w:t>
      </w:r>
    </w:p>
    <w:p>
      <w:pPr>
        <w:spacing w:after="0" w:line="13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sixth family is entitled “Chemical Synthesis of Cytidine-5'-Monophospho-N-Glycyl-Sialic Acid” with claims directed to the chemical synthesis of Cytidine-5'-Monophospho-N-Glycyl-Sialic Acid. A PCT Patent Application was filed on December 20, 2022. A corresponding patent application is pending with the European Patent Office.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seventh family is entitled “Composition and Method of Treatment for Severe Hypertriglyceridemia.” A PCT Patent Application and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 were filed June 23, 2023.</w:t>
      </w:r>
    </w:p>
    <w:p>
      <w:pPr>
        <w:spacing w:after="0" w:line="15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eighth family is entitled “Methods of Treatment of NASH Using Mutant FGF-21 Peptide Conjugates.” A PCT Patent Application was filed August 24, 2023.</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continue to file patent applications to cover method of treating different indications.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FASN Patents</w:t>
      </w:r>
    </w:p>
    <w:p>
      <w:pPr>
        <w:spacing w:after="0" w:line="1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FASN patent portfolio currently consists of three patent families, including patents and/or patent applications in the United States, the European Patent Convention, Canada, Mexico, Israel, China and Japan.</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first patent family, directed to TEV-48317, which we acquired from Teva under the FASN Agreement, and other 1,4-substituted piperidine-based FASN inhibitors, is currently protected by four granted U.S. patents that cover these compounds, pharmaceutical compositions comprising these compounds, and/or methods of treating FASN-mediated disorders using these compounds. The non-extended term for these patents would expire on June 17, 2036. A pending U.S. application has also been filed. The first patent family also includes fourteen foreign patents. The second patent family is directed to other 1,4-substituted piperidine-based FASN inhibitors, pharmaceutical compositions, and methods of treating FASN-mediated disorders. The second patent family includes two granted U.S. patents, one U.S. patent application, and eleven foreign patents. The third patent family is directed to spiropiperidine FASN inhibitors, pharmaceutical compositions containing these compounds, and methods of treating FASN-mediated disorders using these compounds. The third patent family includes two granted U.S. patents, one U.S. patent application, three foreign patents, and two pending foreign patent applications.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70 full-time employees, of which 52 employees are engaged in research and development activities. 62 of our full-time employees are located in the United States, including at our facilities in San Francisco, California, and 8 of our full-time employees are located outside of the United States. We consider our relationship with our employees to be good. We have never had a work stoppage, and none of our employees is represented by a labor organization or under any collective bargaining arrangements.</w:t>
      </w:r>
    </w:p>
    <w:p>
      <w:pPr>
        <w:spacing w:after="0" w:line="12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track and report internally on key talent metrics including workforce demographics, diversity data (reported voluntarily) and the status of open positions. We value equality, inclusion and diversity in the workforce. Many diverse groups are represented among our employees and we strive to expand that representation. We work diligently to ensure that our norms, practices, and policies are equitable. We regularly and anonymously survey employees to fully understand their experience and use the data in our efforts towards inclusivity. As of December 31, 2023, approximately 63% of our employees identify as female. We strive to interview diverse candidates for our open positions.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Attracting, developing and retaining talented employees to support the growth of our business is an integral part of our human capital strategy and critical to our long-term success. We continue to seek additions to our staff, although the competition in our industry and in the San Francisco area, where our headquarters is located, is significant. The principal purpose of our equity incentive and annual bonus programs is to attract, retain and motivate personnel through the granting of stock-based compensation awards and cash-based performance bonus awards. As a biopharmaceutical company, we recognize the importance of access to high quality healthcare and as such we cover 90% of our employees’ monthly healthcare premiums. We offer a package of competitive employee benefits, including 401(k) plan matching contributions and an employee stock purchase plan.</w:t>
      </w:r>
    </w:p>
    <w:p>
      <w:pPr>
        <w:spacing w:after="0" w:line="13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 performance appraisal process in which managers provide regular feedback to assist with the success and development of our employees. We also invest in the growth and development of our employees through various training and opportunities that enable employees to be more effective in their roles.</w:t>
      </w:r>
    </w:p>
    <w:p>
      <w:pPr>
        <w:spacing w:after="0" w:line="12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our management team has the experience necessary to effectively execute our strategy to achieve our corporate goals. A large majority of our employees have obtained degrees in their professions.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January 2018 in Israel under the name 89Bio Ltd. 89bio, Inc., the registrant whose name appears on the cover page of this Annual Report on Form 10-K, was incorporated in June 2019 for the purpose of an internal reorganization transaction. In September 2019, all of the equity holders of 89Bio Ltd. exchanged 100% of the equity of 89Bio Ltd. for 100% of the equity of 89bio, Inc. Following this exchange, 89Bio Ltd. became a wholly owned subsidiary of 89bio, Inc.</w:t>
      </w:r>
    </w:p>
    <w:p>
      <w:pPr>
        <w:spacing w:after="0" w:line="12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142 Sansome Street, San Francisco, California 94104 and our telephone number is (415) 432-9270. Our website is </w:t>
      </w:r>
      <w:r>
        <w:rPr>
          <w:rFonts w:ascii="Times New Roman" w:cs="Times New Roman" w:eastAsia="Times New Roman" w:hAnsi="Times New Roman"/>
          <w:sz w:val="18"/>
          <w:szCs w:val="18"/>
          <w:i w:val="1"/>
          <w:iCs w:val="1"/>
          <w:color w:val="auto"/>
        </w:rPr>
        <w:t>www.89bio.com</w:t>
      </w:r>
      <w:r>
        <w:rPr>
          <w:rFonts w:ascii="Times New Roman" w:cs="Times New Roman" w:eastAsia="Times New Roman" w:hAnsi="Times New Roman"/>
          <w:sz w:val="18"/>
          <w:szCs w:val="18"/>
          <w:color w:val="auto"/>
        </w:rPr>
        <w:t>. Information contained on or accessible through our website is not a part of this Annual Report on Form 10-K, and the inclusion of our website address in this Annual Report on Form 10-K is an inactive textual reference only.</w:t>
      </w:r>
    </w:p>
    <w:p>
      <w:pPr>
        <w:spacing w:after="0" w:line="12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file electronically with the Securities and Exchange Commission (“SEC”) our Annual Report on Form 10-K, Quarterly Reports on Form 10-Q, Current Reports on Form 8-K and amendments to those reports filed or furnished pursuant to Section 13(a) or 15(d) of the Securities Exchange Act of 1934, as amended (the “Exchange Act”). We make available on our website at </w:t>
      </w:r>
      <w:r>
        <w:rPr>
          <w:rFonts w:ascii="Times New Roman" w:cs="Times New Roman" w:eastAsia="Times New Roman" w:hAnsi="Times New Roman"/>
          <w:sz w:val="18"/>
          <w:szCs w:val="18"/>
          <w:i w:val="1"/>
          <w:iCs w:val="1"/>
          <w:color w:val="auto"/>
        </w:rPr>
        <w:t>www.89bio.com</w:t>
      </w:r>
      <w:r>
        <w:rPr>
          <w:rFonts w:ascii="Times New Roman" w:cs="Times New Roman" w:eastAsia="Times New Roman" w:hAnsi="Times New Roman"/>
          <w:sz w:val="18"/>
          <w:szCs w:val="18"/>
          <w:color w:val="auto"/>
        </w:rPr>
        <w:t>, under “Investors,” free of charge, copies of these reports as soon as reasonably practicable after filing or furnishing these reports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Prior to December 31, 2023, we were an “emerging growth company”, as defined in Section 2(a) of the Securities Act of 1933, as amended (the “Securities Act”), as modified by the Jumpstart Our Business Startups Act of 2012, and we were eligible to take advantage of certain exemptions from various reporting requirements that are applicable to other public companies that are not emerging growth companies, including relief from the auditor attestation requirements of Section 404 of the Sarbanes-Oxley Act of 2002, as amended,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w:t>
      </w:r>
    </w:p>
    <w:p>
      <w:pPr>
        <w:spacing w:after="0" w:line="13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Effective December 31, 2023, the Company exited its emerging growth company status and met the definition of a large accelerated filer, as defined under Rule 12b-2 of the Exchange Act. Therefore, we are required to comply with new or revised financial accounting standards as of the effective dates applicable to public companies that are not emerging growth companies. This change in filer status did not have a material impact on our financial statements. In accordance with SEC rules, we are availing ourselves of the exemptions from disclosure requirements, including certain of the reduced and scaled disclosure obligations, that are available to smaller reporting companies. However, beginning with our Quarterly Report on Form 10-Q for the quarter ending March 31, 2024, we will no longer be permitted to take advantage of the reduced reporting requirements applicable to smaller reporting companies.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and uncertainties described below before deciding whether to make an investment decision with respect to shares of our common stock. You should also refer to the other information contained in this Annual Report on Form 10-K, including “Management’s Discussion and Analysis of Financial Condition and Results of Operations” and our audited consolidated financial statements and related notes. Our business, financial condition, results of operations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Annual Report on Form 10-K may not contain all of the risks, uncertainties and other factors that may affect our future results and operations. Moreover, new risks will emerge from time to time. It is not possible for our management to predict all risks.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You should carefully consider the risks described below before making a decision to invest in our common stock. If we are unable to successfully address these risks and challenges, our business, financial condition, results of operations, or prospects could be materially adversely affected. In such case, the trading price of our common stock would likely decline, and you may lose all or part of your investment. Below is a summary of some of the risks we face.</w:t>
      </w:r>
    </w:p>
    <w:p>
      <w:pPr>
        <w:spacing w:after="0" w:line="72" w:lineRule="exact"/>
        <w:rPr>
          <w:sz w:val="20"/>
          <w:szCs w:val="20"/>
          <w:color w:val="auto"/>
        </w:rPr>
      </w:pPr>
    </w:p>
    <w:p>
      <w:pPr>
        <w:ind w:left="1020" w:right="1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We have incurred net losses since our inception, we expect to incur significant and increasing operating losses and we may never be profitable. Our stock is a highly speculative investment.</w:t>
      </w:r>
    </w:p>
    <w:p>
      <w:pPr>
        <w:spacing w:after="0" w:line="6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 of pegozafermin, our only product candidate under clinical development, which has not completed a pivotal trial. If we are unable to obtain regulatory approval for and successfully commercialize pegozafermin or other future product candidates, or we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timelines and uncertain outcomes, and the results of prior preclinical or clinical trials are not necessarily predictive of our future results.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which may not be available to us on acceptable terms, or at all. As a result, we may not complete the development and commercialization of pegozafermin or develop new product candidates.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in clinical testing, our commercial prospects will be adversely affected, our costs may increase and our business may be harmed.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in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on, and expect to continue to rely on, third-party manufacturers and vendors to produce and release pegozafermin or any future product candidates. Any failure by a third-party to produce and release acceptable product candidates for us pursuant to our specifications and regulatory standards may delay or impair our ability to initiate or complete our clinical trials, obtain and maintain regulatory approvals or commercialize approved products.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Pegozafermin and any future product candidates may cause undesirable side effects or have other properties that could delay or prevent their regulatory approval or limit the commercial profile of an approved label.</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pegozafermin for the treatment of NASH, an indication for which there are no approved products, and the treatment of SHTG. The requirements for approval of pegozafermin by the FDA and comparable foreign regulatory authorities may be difficult to predict and may change over time, which makes it difficult to predict the timing and costs of the clinical development.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line="86" w:lineRule="exact"/>
        <w:rPr>
          <w:sz w:val="20"/>
          <w:szCs w:val="20"/>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adverse events or undesirable side effects may emerge in clinical trials conducted by third parties developing FGF product candidates, which could adversely affect our stock price, our ability to attract additional capital and our development program.</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 products is complex and we are subject to many manufacturing risks, any of which could substantially increase our costs and limit supply of our products.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us.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inflation, increases in interest rates, natural disasters, public health crises such as the COVID-19 pandemic, political crises, geopolitical events, such as the crisis in Ukraine and Israel, or other macroeconomic conditions, may have serious adverse consequences on our business and financial condition.</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2023 Loan Agreement contains certain covenants that could adversely affect our operations and, if an event of default were to occur, we could be forced to repay any outstanding indebtedness sooner than planned and possibly at a time when we do not have sufficient capital to meet this obligation.</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Pegozafermin has not received regulatory approval. If we are unable to obtain regulatory approvals to market pegozafermin or any future product candidates, our business will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obtain and maintain intellectual property protection for our products and technologies.</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281"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license from Teva and a sublicense from ratiopharm to patents and know-how related to glycoPEGylation technology that are used in the development, manufacture and commercialization of pegozafermin. Any termination or loss of significant rights, including the right to glycoPEGylation technology, or breach, under these agreements or any future license agreement related to our product candidates, would materially and adversely affect our ability to continue the development and commercialization of the related product candidates.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incurred net losses since our inception, we expect to incur significant and increasing operating losses and we may never be profitable. Our stock is a highly speculative investment.</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that may make it difficult to evaluate the success of our business to date and to assess our future viability. We commenced operations in 2018, and to date, our operations have been focused on organizing and staffing our company, raising capital, acquiring our initial product candidate, pegozafermin and licensing certain related technology, conducting research and development activities, including preclinical studies and clinical trials, and providing general and administrative support for these operations.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we have not generated any revenue from product sales to date and we continue to incur significant research and development and other expenses related to our ongoing operations. We have limited experience as a company conducting clinical trials and no experience as a company commercializing any products.</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Pegozafermin is in development and, to date, we have not generated any revenue from the licensing or commercialization of pegozafermin. We will not be able to generate product revenue unless and until pegozafermin or any future product candidate, alone or with future partners, successfully completes clinical trials, receives regulatory approval and is successfully commercialized. As pegozafermin is in development, we do not expect to receive revenue from it for a number of years, if ever. Although we may seek to obtain revenue from collaboration or licensing agreements with third parties, we currently have no such agreements that could provide us with material, ongoing future revenue and we may never enter into any such agreements.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are not profitable and have incurred net losses since our inception. Consequently, predictions about our future success or viability may not be as accurate as they would be if we had a longer operating history or a history of successfully developing and commercializing pharmaceutical products. We have spent, and expect to continue to spend, significant resources to fund research and development of, and seek regulatory approvals for, pegozafermin and any future product candidates. We expect to incur substantial and increasing operating losses over the next several years as our research and development, clinical trials and manufacturing activities increase. In addition, because of the numerous risks and uncertainties associated with pharmaceutical product development, including that our product candidates may not advance or may take longer than expected to advance through development or may not achieve the endpoints of applicable clinical trials, we are unable to predict the timing or amount of increased expenses, or if or when we will achieve or maintain profitability. The size of our future net losses will depend, in part, on the rate of future growth of our expenses and our ability to generate revenue. The net losses we incur may fluctuate significantly from quarter-to-quarter such that a period-to-period comparison of our results of operations may not be a good indication of our future performance. Even if we eventually generate product revenue, we may never be profitable and, if we do achieve profitability, we may not be able to sustain or increase profitability on a quarterly or annual basis.</w:t>
      </w:r>
    </w:p>
    <w:p>
      <w:pPr>
        <w:spacing w:after="0" w:line="18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 of pegozafermin, our only product candidate under clinical development, which has not completed a pivotal trial. If we are unable to obtain regulatory approval for and successfully commercialize pegozafermin or other future product candidates, or we experience significant delays in doing so, our business will be materially harmed.</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primary focus of our product development is pegozafermin for the treatment of patients with NASH and the treatment of patients with SHTG. Currently, pegozafermin is our only product candidate under clinical development. This may make an investment in our company riskier than similar companies that have multiple product candidates in active development and that therefore may be able to better sustain a failure of a lead candidate. Successful continued development and ultimate regulatory approval of pegozafermin for the treatment of NASH or SHTG is critical to the future success of our business. We have invested, and will continue to invest, a significant portion of our time and financial resources in the clinical development of pegozafermin. If we cannot successfully develop, obtain regulatory approval for and commercialize pegozafermin, we may not be able to continue our operations. The future regulatory and commercial success of pegozafermin is subject to a number of risks, including that, if approved for NASH or SHTG, pegozafermin will likely compete with products that may reach approval for the treatment of NASH prior to pegozafermin, products that are currently approved for the treatment of SHTG and the off-label use of currently marketed products for NASH and SHTG.</w:t>
      </w:r>
    </w:p>
    <w:p>
      <w:pPr>
        <w:spacing w:after="0" w:line="18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and the results of prior preclinical or clinical trials are not necessarily predictive of our future results.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Pegozafermin and any future product candidates will be subject to rigorous and extensive clinical trials and extensive regulatory approval processes implemented by the FDA and comparable foreign regulatory authorities before obtaining marketing approval from these regulatory authorities. The drug development and approval process is lengthy and expensive, and approval is never certain. Investigational new drugs, such as pegozafermin, may not prove to be safe and effective in clinical trials. We have limited direct experience as a company in conducting pivotal trials required to obtain regulatory approval and we expect that the Phase 3 trials we are conducting will be more expansive and complex than the trials we have conducted to date. We may be unable to conduct clinical trials at preferred sites, enlist clinical investigators, enroll sufficient numbers of participants, procure sufficient drug supply or begin or successfully complete clinical trials in a timely fashion, if at all. In addition, the design of a clinical trial can determine whether its results will support approval of a product, and flaws in the design of a clinical trial may not become apparent until the clinical trial is well advanced. We may be unable to design and execute a clinical trial to support regulatory approval. Even if an ongoing clinical trial is successful, it may be insufficient to demonstrate that pegozafermin is safe or effective for registration purposes.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a high failure rate for drugs and biologic products proceeding through clinical trials. Failure can occur at any time during the clinical trial process. The results of preclinical studies and early clinical trials of pegozafermin or any future product candidate may not be predictive of the results of later-stage clinical studies or trials and the results of studies or trials in one set of patients or line of treatment may not be predictive of those obtained in another. In fact, many companies in the pharmaceutical and biotechnology industries have suffered significant setbacks in late-stage clinical trials even after achieving promising results in preclinical studies and earlier stage clinical trials. In addition, data obtained from preclinical and clinical activities is subject to varying interpretations, which may delay, limit or prevent regulatory approval. It is impossible to predict when or if pegozafermin or any future product candidate will prove effective or safe in humans or will receive regulatory approval. Owing in part to the complexity of biological pathways, pegozafermin or any future product candidate may not demonstrate in patients the biochemical and pharmacological properties we anticipate based on laboratory studies or earlier stage clinical trials, and they may interact with human biological systems or other drugs in unforeseen, ineffective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harmful ways. The number of patients exposed to product candidates and the average exposure time in the clinical development programs may be inadequate to detect rare adverse events or findings that may only be detected once a product candidate is administered to more patients and for greater periods of time. To date, our Phase 1a, Phase 1b/2a and Phase 2 clinical trials have involved small patient populations and, because of the small sample size in such trials, the results of those clinical trials may be subject to substantial variability, including the inherent variability associated with biopsies in NASH patients, and may not be indicative of either future interim results or final results in future trials of patients with liver or cardio-metabolic diseases. If we are unable to successfully demonstrate the safety and efficacy of pegozafermin or other future product candidates and receive the necessary regulatory approvals, our business will be materially harmed.</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which may not be available to us on acceptable terms, or at all. As a result, we may not complete the development and commercialization of pegozafermin or develop new product candidates.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research and development expenses to increase in connection with our ongoing activities, particularly as we conduct clinical trials of and seek regulatory approval for pegozafermin. We believe our existing cash, cash equivalents and marketable securities will be sufficient to fund our projected operating requirements for a period of at least one year from the date this Annual Report on Form 10-K is filed with the SEC.</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to discover, develop, obtain regulatory approval for and commercialize pegozafermin and any future product candidates. Our ability to complete new and ongoing clinical trials for pegozafermin may be subject to our ability to raise additional capital. We do not have any committed external source of funds other than as a result of any sales that we may make pursuant to the Sales Agreement for our ATM Facility (defined above) and proceeds from our 2023 Loan Agreement, which are subject to the achievement of certain milestones and/or consent of the lenders. We may also receive additional funds from the exercise of outstanding warrants. We expect to finance future cash needs through public or private equity or debt offerings or product collaborations. Additional capital may not be available in sufficient amounts or on reasonable terms, if at all. The current market environment for small biotechnology companies, like 89bio, and broader macroeconomic factors may preclude us from successfully raising additional capital.</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do not raise additional capital, we may not be able to expand our operations or otherwise capitalize on our business opportunities, our business and financial condition will be negatively impacted and we may need to: significantly delay, scale back or discontinue research and discovery efforts and the development or commercialization of any product candidates or cease operations altogether; seek strategic alliances for research and development programs when we otherwise would not, or at an earlier stage than we would otherwise desire or on terms less favorable than might otherwise be available; or relinquish, or license on unfavorable terms, our rights to technologies or any product candidates that we otherwise would seek to develop or commercialize ourselves.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if pegozafermin receives approval and is commercialized, we will be required to make milestone and royalty payments to Teva, from whom we acquired certain patents and intellectual property rights relating to pegozafermin, and from whom we licensed patents and know-how related to glycoPEGylation technology that is used in the manufacture of pegozafermin. For additional information regarding this license agreement, please see Note 5 to our consolidated financial statements appearing under Part II, Item 8 of this Annual Report.</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our commercial prospects will be adversely affected, our costs may increase and our business may be harmed.</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be able to initiate and complete clinical trials and successfully accomplish all required regulatory activities or other activities necessary to gain approval and commercialize pegozafermin or any future product candidates. We currently have two active investigational new drug (“IND”) applications with the FDA in the United States for pegozafermin. In the future, we may file an additional IND with another division for any future indications or future product candidates. If any such future IND is not approved by the FDA, our clinical development timeline may be negatively impacted and any future clinical programs may be delayed or terminated. As a result,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pegozafermin and any future product candidates or allow our competitors to bring products to market before we do, which would impair our ability to successfully commercialize pegozafermin or any future product candidates and may harm our business, results of operations and prospects. Our or our future collaborators’ inability to timely complete clinical development could result in additional costs to us as well as impair our ability to generate product revenue, continue development, commercialize pegozafermin and any future product candidates, reach sales milestone payments and receive royalties on product sales. In addition, if we make changes to a product candidate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ind w:right="900"/>
        <w:spacing w:after="0" w:line="266" w:lineRule="auto"/>
        <w:rPr>
          <w:sz w:val="20"/>
          <w:szCs w:val="20"/>
          <w:color w:val="auto"/>
        </w:rPr>
      </w:pPr>
      <w:r>
        <w:rPr>
          <w:rFonts w:ascii="Times New Roman" w:cs="Times New Roman" w:eastAsia="Times New Roman" w:hAnsi="Times New Roman"/>
          <w:sz w:val="18"/>
          <w:szCs w:val="18"/>
          <w:color w:val="auto"/>
        </w:rPr>
        <w:t>including, for example, a new formulation, we may need to conduct additional nonclinical studies or clinical trials to bridge or demonstrate the comparability of our modified product candidate to earlier versions, which could delay our clinical development plan or marketing approval for pegozafermin and any future product candidates.</w:t>
      </w:r>
    </w:p>
    <w:p>
      <w:pPr>
        <w:spacing w:after="0" w:line="1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enrolling patients in our clinical trials, our clinical development activities could be delayed or otherwise adversely affected.</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We may encounter delays in enrolling, or be unable to enroll, a sufficient number of patients to complete any of our future clinical trials, and even once enrolled, we may be unable to retain a sufficient number of patients to complete any of our trials. Furthermore, there are inherent difficulties in diagnosing NASH, which can currently only be definitively diagnosed through a liver biopsy, and identifying SHTG patients. Specifically, identifying patients most likely to meet NASH enrollment criteria on biopsy is an ongoing challenge, with existing clinical indicators lacking both sensitivity and specificity. As a result, NASH trials often suffer from high levels of screen failure following central review of the baseline liver biopsy, which can lead to lower enrollment. In addition, we do not have experience enrolling patients with cirrhosis and such enrollment make take longer than we expect. As a result of such difficulties and the significant competition for recruiting NASH and SHTG patients in clinical trials, we or our future collaborators may be unable to enroll the patients we need to complete clinical trials on a timely basis, or at all. In addition, our competitors, some of whom have significantly greater resources than we do, are conducting clinical trials for the same indications and seek to enroll patients in their studies that may otherwise be eligible for our clinical studies or trials.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sites. Further, in the event one of our competitors receives regulatory approval for their product candidate before we do, we may have difficulty enrolling patients if they choose to take an approved drug, rather than enroll in a clinical trial. Our inability to enroll a sufficient number of patients for our clinical trials would result in significant delays or may require us to abandon one or more clinical trials altogether. Even if we are able to enroll a sufficient number of patients in our clinical studies or trials, delays in patient enrollment may result in increased costs or may affect the timing or outcome of our clinical trials, which could prevent completion of these trials and adversely affect our ability to advance the development of pegozafermin and any future product candidates. We plan to leverage the safety database from the SHTG Phase 3 program across both the SHTG and NASH indications. If we are not able enroll enough patients in our trials sufficient to support the safety database, our ability to advance the development of pegozafermin may be adversely affected.</w:t>
      </w:r>
    </w:p>
    <w:p>
      <w:pPr>
        <w:spacing w:after="0" w:line="1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on, and expect to continue to rely on, third-party manufacturers and vendors to produce and release pegozafermin or any future product candidates. Any failure by a third-party to produce and release acceptable product candidates for us pursuant to our specifications and regulatory standards may delay or impair our ability to initiate or complete our clinical trials, obtain and maintain regulatory approvals or commercialize approved products.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us with pegozafermin and any future product candidates. We currently have a sole source relationship with BTPH pursuant to which they supply us with pegozafermin. If there should be any disruption in our supply arrangement with BTPH, including any adverse events affecting BTPH, it could have a negative effect on the clinical development of pegozafermin and other operations while we work to identify and qualify an alternate supply source. In addition, we will require large quantities of pegozafermin for large clinical trials and to commercialize pegozafermin. Our current manufacturer may not be able to produce the larger quantities required for Phase 3 studies. We have identified a manufacturing partner for commercial-scale manufacturing, however, we cannot guarantee that such partner will be able to scale up and produce the quantities we would require to commercialize pegozafermin.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do not have a long-term supply agreement with any third-party manufacturer and there is no guarantee that our third-party manufacturers will be able to fulfill our supply needs. Reliance on third-party manufacturers entails risks to which we would not be subject if we manufacture product candidates or products ourselves. For example, if any of our third-party manufacturers or vendors, including our fill-finish vendor, are not able to fulfill their supply or manufacturing obligations in a timely manner, our clinical trials may be delayed. In addition, if we do not maintain our key manufacturing relationships, we may fail to find replacement manufacturers or develop our own manufacturing capabilities in a timely manner or at all,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comparable foreign regulatory authorities.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begun producing certain of the reagents required for the glycoPEGylation at BTPH using the know-how transferred to us from Teva under our Reagent Supply and Technology Transfer Agreement. We have not completed the manufacturing process for all these reagents and cannot guarantee that we will be able to produce them successfully, or scale up our production for the quantities needed for commercialization.</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significant delay in the acquisition or decrease in the availability of these raw materials from suppliers could considerably delay the manufacture of pegozafermin, which could adversely impact the timing of any planned trials or the regulatory approvals of pegozafermin.</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rely on third-party vendors for our assay development and testing. If such third-party vendors are unable to successfully produce or test such assays, it may substantially increase our cost or could adversely impact the timing of any planned trials or the regulatory approvals of pegozafermin.</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and other comparable foreign regulatory authorities require manufacturers to register manufacturing facilities. The FDA and other comparable foreign regulatory authorities also inspect these facilities to confirm compliance with current good manufacturing practices (“cGMP”). We have little to no control regarding the occurrence of third-party manufacturer incidents. Any failure to comply with cGMP requirements or other FDA or comparable foreign regulatory requirements could adversely affect our clinical research activities and our ability to develop pegozafermin or any future product candidates and market our products following approval. Our sole source supplier, BTPH, has not yet manufactured a commercial product, and as a result, has not been subject to inspection by the FDA and other comparable foreign regulatory authorities.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 Supply chain issues, including those resulting from the ongoing war in Ukraine and the acts of piracy and military unrest in the Red Sea, may affect our third-party vendors and cause delays. Furthermore, since we have engaged a manufacturer located in China, we are exposed to the possibility of product supply disruption and increased costs in the event of changes in the legislation or policies of the United States, including the proposed BIOSECURE bill, or Chinese governments, political unrest or unstable economic conditions in China. If we are required to change manufacturers for any reason, we will be required to verify that the new manufacturer maintains facilities and procedures that comply with quality standards and with all applicable regulations and guidelines. For example, in the event that we need to switch our third-party manufacturer of pegozafermin from BTPH, which is our sole manufacturing source for pegozafermin, we anticipate that the complexity of the glycoPEGylation manufacturing process may materially impact the amount of time it may take to secure a replacement manufacturer. The delays associated with the verification of a new manufacturer, if we are able to identify an alternative source, could negatively affect our ability to develop product candidates in a timely manner or within budget.</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Pegozafermin and any future product candidates may cause undesirable side effects or have other properties that could delay or prevent their regulatory approval or limit the commercial profile of an approved label.</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pegozafermin or any future product candidates could cause us or regulatory authorities to interrupt, delay or halt clinical trials and could result in a more restrictive label or the delay or denial of regulatory approval by the FDA or other comparable foreign regulatory authorities. Additional clinical studies may be required to evaluate the safety profile of pegozafermin or any future product candidates. As with other drugs, we have seen evidence of adverse effects in animal and human studies and it is possible that other adverse effects will become apparent in ongoing or future animal or human studies. It may be difficult to discern whether certain events or symptoms observed during our clinical trials or by patients using our approved products are related to pegozafermin or any future product candidates or approved products or some other factor. As a result, we and our development programs may be negatively affected even if such events or symptoms are ultimately determined to be unlikely related to pegozafermin or any future product candidates or approved products. Further, we expect that pegozafermin will require multiple administrations via subcutaneous injection in the course of a clinical trial. This chronic administration increases the risk that rare adverse events or chance findings are discovered in the commercial setting, where pegozafermin would be administered to more patients or for greater periods of time, that were not uncovered by our clinical drug development programs.</w:t>
      </w:r>
    </w:p>
    <w:p>
      <w:pPr>
        <w:spacing w:after="0" w:line="18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developing pegozafermin for the treatment of NASH, an indication for which there are no approved products, and the treatment of SHTG. The requirements for approval of pegozafermin by the FDA and comparable foreign regulatory authorities may be difficult to predict and may change over time, which makes it difficult to predict the timing and costs of the clinical development.</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developing pegozafermin for the treatment of NASH, an indication for which there are no approved products. Although there are guidelines issued by the FDA for the development of drugs for the treatment of NASH, the development of a novel product candidates such as pegozafermin may be more expensive and take longer than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other, better known or extensively studied product candidates. As other companies are in later stages of clinical trials for their potential NASH therapies, we expect that the path for regulatory approval for NASH therapies may continue to evolve in the near term as these other companies refine their regulatory approval strategies and interact with regulatory authorities. Such evolution may impact our future clinical trial designs, including trial size and endpoints, in ways that we cannot predict today. In particular, regulatory authority expectations about liver biopsy data may evolve especially as more information is published about the inherent variability in liver biopsy data. Certain of our competitors have experienced regulatory setbacks for NASH therapies following communications from the FDA. We currently do not know the impact, if any, that these setbacks could have on the path for regulatory approval for NASH therapies generally or for pegozafermin. In addition, if one of the other companies receives regulatory approval for its NASH therapy before we do, such approval could impact our development of pegozafermin. We may have difficulty enrolling patients in our Phase 3 program for patients with NASH if patients choose to take an approved drug, rather than enroll in a clinical trial. In addition, we expect that the first therapy that is approved for the treatment of NASH will establish initial pricing and labelling expectations, which could impact our pricing and labelling if pegozafermin receives marketing approval.</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also developing pegozafermin for the treatment of SHTG. Clinical trials for the treatment of SHTG may be relatively costly and time-consuming. In addition, the requirements for approval by the FDA and comparable foreign regulatory authorities may change over time. If the FDA requires additional evidence in addition to our ongoing Phase 3 program in SHTG to support a successful submission for approval, we may be required to make changes to our program design that could impact timelines and cost.</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anticipated development costs would likely increase if development of pegozafermin or any future product candidate is delayed because we are required by the FDA to perform studies or trials in addition to, or different from, those that we currently anticipate, or make changes to ongoing or future clinical trial designs. In addition, if we are unable to leverage our safety database for both SHTG and NASH indications, we may be required to perform additional trials, which would result in increased costs and may affect the timing or outcome of our clinical trials.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efficacy, adverse events or undesirable side effects may emerge in clinical trials conducted by third parties developing FGF product candidates, which could adversely affect our stock price, our ability to attract additional capital and our development program.</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Lack of efficacy, adverse events or undesirable side effects may emerge in clinical trials conducted by third parties developing FGF product candidates like ours. For example, Novo Nordisk, Akero Therapeutics, Inc. and Boston Pharmaceuticals are also developing FGF21 product candidates for the treatment of NASH. We have no control over their clinical trials or development program, and lack of efficacy, adverse events or undesirable side effects experienced by subjects in their clinical trials could adversely affect our stock price, our ability to attract additional capital and our clinical development plans for pegozafermin or even the viability or prospects of pegozafermin as a product candidate, including by creating a negative perception of FGF therapeutics by healthcare providers or patients.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w:t>
      </w:r>
    </w:p>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 products is complex and we are subject to many manufacturing risks, any of which could substantially increase our costs and limit supply of our products.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date, pegozafermin has been manufactured by a single third-party manufacturer, BTPH, solely for preclinical studies and clinical trials. The process of manufacturing pegozafermin, and in particular, the glycoPEGylation process, is complex, highly regulated and subject to several risks and requires significant expertise and capital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 including for the development of advanced manufacturing techniques and process controls. Manufacturers of biologic products often encounter difficulties in production, including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pegozafermin will not occur in the future. 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w:t>
      </w:r>
    </w:p>
    <w:p>
      <w:pPr>
        <w:spacing w:after="0" w:line="183"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us.</w:t>
      </w:r>
    </w:p>
    <w:p>
      <w:pPr>
        <w:spacing w:after="0" w:line="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innovation and significant technological advancements.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Certain of these companies have published positive data regarding their clinical trials, which may further increase the competition we face. Smaller or earlier-stage companies may also prove to be significant competitors, particularly through collaborative arrangements with large, established companies. Given the high incidence of NASH and SHTG, it is likely that the number of companies seeking to develop products and therapies for the treatment of liver and cardio-metabolic diseases, such as NASH and SHTG, will increase. We may also face competition indirectly from companies developing therapies like the incretins to treat obesity and/or Type 2 diabetes. Some incretin-based therapies are also being developed for the treatment of NASH.</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diseases other than NASH and some of these currently approved therapies may exert effects that could be similar to pegozafermin in NASH. Many of these approved drugs are well-established therapies or products and are widely accepted by physicians, patients and third-party payors. Some of these drugs are branded and subject to patent protection, and others are available on a generic basis. This may make it difficult for us to differentiate our products from currently approved therapies, which may adversely impact our business strategy. We expect that if pegozafermin or any future product candidates are approved, they will be priced at a significant premium over competitive generic products, including branded generic products. Insurers and other third-party payors may also encourage the use of generic products or specific branded products prior to utilization of pegozafermin. In addition, many companies are developing new therapeutics, and we cannot predict what the standard of care will be as pegozafermin or any future product candidates progress through clinical development. In addition, to the extent pegozafermin or any future product candidates are approved for liver or cardio-metabolic indications, such as SHTG, the commercial success of our products will also depend on our ability to demonstrate benefits over the then-prevailing standard of care, including diet, exercise and lifestyle modifications.</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if pegozafermin or any future product candidates are approved for the treatment of SHTG, we will compete with currently approved therapies and therapies further along in development. Our competitors both in the United States and abroad include large, well-established pharmaceutical and generic companies with significantly greater name recognition. Our competitors may be able to charge lower prices than we can, which may adversely affect our market acceptance. Many of these competitors have greater resources than we do, including financial, product development, marketing, personnel and other resources.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competitors market products that are more effective, safer or cheaper than our products or that reach the market sooner than our products, we may not achieve commercial success. Many of our competitors have substantially greater financial, technical, human and other resources than we do and may be better equipped to develop, manufacture and market technologically superior products. As a result, 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inflation, increases in interest rates, natural disasters, public health crises such as the COVID-19 pandemic, political crises, geopolitical events, such as the crisis in Ukraine and Israel, or other macroeconomic conditions, may have serious adverse consequences on our business and financial condition.</w:t>
      </w:r>
    </w:p>
    <w:p>
      <w:pPr>
        <w:spacing w:after="0" w:line="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global economy, including credit and financial markets, have experienced extreme volatility and disruptions at various points over the last few decades, including, among other things, diminished liquidity and credit availability, declines in consumer confidence, declines in economic growth, supply chain shortages, increases in inflation rates, higher interest rates, and uncertainty about economic stability. For example, the COVID-19 pandemic resulted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widespread unemployment, economic slowdown and extreme volatility in the capital markets.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conflicts between Russia and Ukraine and between Israel and surrounding areas and the rising tensions between China and Taiwan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experienced and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172"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2023 Loan Agreement contains certain covenants that could adversely affect our operations and, if an event of default were to occur, we could be forced to repay any outstanding indebtedness sooner than planned and possibly at a time when we do not have sufficient capital to meet this obligation.</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2023 Loan Agreement, we have pledged substantially all of our assets, other than our intellectual property rights, and have agreed that we may not sell or assign rights to our patents and other intellectual property without the prior consent of our lenders. Additionally, the 2023 Loan Agreement contains certain affirmative and negative covenants that could prevent us from taking certain actions without the consent of our lenders. These covenants may limit our flexibility in operating our business and our ability to take actions that might be advantageous to us and our stockholders. The 2023 Loan Agreement also includes customary events of default, including, among other things, an event of default upon a change of control. Upon the occurrence and continuation of an event of default, all amounts due under the 2023 Loan Agreement become automatically (in the case of a bankruptcy event of default) or may become (in the case of all other events of default and at the option of the administrative agent), immediately due and payable. If an event of default under the 2023 Loan Agreement should occur and be continuing, we could be required to immediately repay any outstanding indebtedness. If we are unable to repay such debt, the lenders would be able to foreclose on the secured collateral, including our cash accounts, and take other remedies permitted under the 2023 Loan Agreement. Even if we are able to repay such accelerated debt amount under the 2023 Loan Agreement upon an event of default, the repayment of these sums may significantly reduce our working capital and impair our ability to operate as planned.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adversely affect our operations.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are in the early stages of building the full team that we anticipate we will need to complete the development pegozafermin and other future product candidates. As we advance our preclinical and clinical development programs for product candidates, seek regulatory approval in the United States and elsewhere and increase the number of ongoing product development programs, we anticipate that we will need to increase our product development, scientific and administrative headcount. We will also need to establish commercial capabilities in order to commercialize any product candidates that may be approved. Such an evolution may impact our strategic focus and our deployment and allocation of resources. Our ability to manage our operations and growth effectively depends upon the continual improvement of our procedures, reporting systems and operational, financial and management controls. We may not be able to implement administrative and operational improvements in an efficient or timely manner and may discover deficiencies in existing systems and controls. In addition, in order to continue to meet our obligations as a public company and to support our anticipated long-term growth, we will need to increase our general and administrative capabilities. Our management, personnel and systems may experience difficulty in adjusting to our growth and strategic focus.</w:t>
      </w:r>
    </w:p>
    <w:p>
      <w:pPr>
        <w:spacing w:after="0" w:line="1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and consultants due to the intense competition for such individuals in the biotechnology and pharmaceutical industries. If we are not able to attract and retain necessary personnel and consultants to accomplish our business objectives, it may significantly impede the achievement of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development and commercial objectives and our ability to implement our business strategy. In addition, we are highly dependent on the development, regulatory, manufacturing, commercialization and financial expertise of the members of our executive team, as well as other key employees and consultants. If we lose one or more of our executive officers or other key employees or consultants, our ability to implement our business strategy successfully could be seriously harmed.</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aspects of our product candidate development process and we may not be able to obtain and maintain the third-party relationships that are necessary to develop, commercialize and manufacture some or all of our product candidates. If these third parties do not successfully perform and comply with regulatory requirements, we may not be able to successfully complete clinical development, obtain regulatory approval, or commercialize our product candidates and our business could be substantially harmed.</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depend on collaborators, partners, licensees, clinical investigators, contract research organizations, manufacturers and other third parties to support our discovery efforts, to formulate product candidates, to conduct clinical trials for some or all of our product candidates and to manufacture clinical and commercial scale quantities of our drug substance and drug product and expect to depend on these third parties to market, sell and distribute any products we successfully develop. Any of these third parties may terminate their engagements with us at any time. If we need to enter into alternative arrangements, it would delay our product development activities and such alternative arrangements may not be available on terms acceptable to us. We also expect to rely on other third parties to store and distribute drug supplies for our clinical trials. Any performance failure on the part of our distributors could delay clinical development, marketing approval and/or commercialization of pegozafermin or any future product candidates, producing additional losses and depriving us of potential revenue.</w:t>
      </w:r>
    </w:p>
    <w:p>
      <w:pPr>
        <w:spacing w:after="0" w:line="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we have relied upon and plan to continue to rely upon third party contract research organizations (“CROs”) to conduct, monitor, and manage preclinical and clinical programs. We rely on these parties for execution of clinical trials, and we manage and control only some aspects of their activities. We remain responsible for ensuring that each of our trials is conducted in accordance with the applicable protocol, legal, regulatory, and scientific standards, and our reliance on the CROs does not relieve us of our regulatory responsibilities. We and our CROs and other vendors are required to comply with all applicable laws, regulations, and guidelines, including those required by the FDA, EMA and comparable foreign regulatory authorities for all of our product candidates in clinical development. If we or any of our CROs or vendors fail to comply with applicable and evolving laws, regulations, and guidelines, the results generated in our clinical trials may be deemed insufficient or unreliable, and the FDA, EMA or comparable foreign regulatory authorities may require us to perform additional clinical trials before approving our marketing applications.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contract research organizations, CMO, suppliers, and other contractors and consultants, could be subject to earthquakes, power shortages, telecommunications failures, water shortages, floods, hurricanes, typhoons, fires, extreme weather conditions, acts of war, medical pandemics or epidemics, such as the novel coronavirus, and other natural or man-made disasters or business interruptions. The occurrence of any of these business disruptions could seriously harm our operations and financial condition and increase our 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the development and commercialization of pegozafermin is currently our primary focus, as part of our longer-term growth strategy, we plan to evaluate the development and commercialization of other therapies related to NASH and other liver and cardio-metabolic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product candidates for clinical development for a number of reasons.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our limited financial and human resources to pursue a particular research program or product candidate that is ultimately unsuccessful or less successful than other programs or product candidates that we may have forgone or delayed.</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we have limited personnel and financial resources, we may forego or delay the development of certain programs or product candidates that later prove to have greater commercial potential than the programs or product candidates that we do pursue. Our resource allocation decisions may cause us to fail to capitalize on viable commercial products or profitable market opportunities. Our spending on current and future research and development programs for product candidates may not yield any commercially viable products. Similarly,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to delay or terminate drug development programs may also be incorrect and could cause us to miss valuable opportunities.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 Collaborations are complex and time-consuming to negotiate and document.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in-license or acquire, discover, develop or commercialize additional product candidates.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seek to identify, in-license or acquire, discover, develop and commercialize additional product candidates. We cannot assure you that our effort to in-license or acquire additional product candidates will be successful. Even if we are successful in in-licensing or acquiring additional product candidates, their requisite development activities may require substantial resources, and we cannot assure you that these development activities will result in regulatory approvals.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use of our international facilities subjects us to U.S. and foreign governmental trade, import and export, and customs regulations and laws including various economic and trade sanctions regulations administered by the U.S. Treasury Department’s Office of Foreign Assets Controls and the U.S. Export Administration Regulations. Compliance with these regulations and laws is costly and exposes us to penalties for non-compliance. Doing business internationally potentially involves a number of risks, any of which could harm our ongoing international clinical operations and supply chain, as well as any future international expansion and operations and, consequently, our business, financial condition, prospects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or others using our products. Our clinical trial liability insurance coverage may not adequately cover all liabilities that we may incur.</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contractors, vendors, principal investigators, consultants and future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vendors, principal investigators, consultants or future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laws.</w:t>
      </w:r>
    </w:p>
    <w:p>
      <w:pPr>
        <w:spacing w:after="0" w:line="18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integrity or confidentiality of sensitive information related to our business and have a material adverse effect on our reputation, business, financial condition or results of operations.</w:t>
      </w:r>
    </w:p>
    <w:p>
      <w:pPr>
        <w:spacing w:after="0" w:line="5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the ordinary course of our business, we collect, store and transmit large amounts of confidential information, including intellectual property, proprietary business information and personal information. Our internal technology systems and infrastructure, and those of our current or future third-party collaborators, service providers, contractors and consultants are vulnerable to damage from computer viruses, unauthorized access or use resulting from malware, natural disasters, terrorism, war and telecommunication and electrical failures, denial-of-service attacks, cyber-attacks or cyber-intrusions over the Internet, hacking, phishing and other social engineering attacks, persons inside our organizations (including employees or contractors), loss or theft, or persons with access to systems inside our organization. From time to time, we are subject to periodic phishing attempts. In the third quarter of 2021, we discovered a business email compromise caused by phishing. The phishing attack did not result in the misappropriation of any funds and we do not believe that it had a material adverse effect on our business. We implemented remedial measures promptly following this incident, however, we cannot guarantee that our implemented remedial measures will prevent additional related, as well as unrelated, incidents. If a material system failure, accident or security breach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that any real or perceived security breach affects our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have a material adverse effect on our reputation, business, financial condition or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Pegozafermin has not received regulatory approval. If we are unable to obtain regulatory approvals to market pegozafermin or any future product candidates, our business will be adversely affected.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do not expect pegozafermin or any future product candidate to be commercially available for several years, if at all. Pegozafermin is and any future product candidate will be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pegozafermin or any future product candidate.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regulatory authorities in the United States and the EU have not approved any products for the treatment of NASH, and while there are guidelines issued by the FDA for the development of drugs for the treatment of NASH, it is unclear whether the requirements for approval will change in the future or whether the FDA will rely on regulatory precedent for future regulatory approvals. Any such changes may require us to conduct new trials that could delay our timeframe and increase the costs of our programs related to pegozafermin or any future product candidate for the treatment of NASH or SHTG.</w:t>
      </w:r>
    </w:p>
    <w:p>
      <w:pPr>
        <w:spacing w:after="0" w:line="176"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obtain regulatory approvals for pegozafermin or any future product candidate, if they exhibit harmful side effects after approval, our regulatory approvals could be revoked or otherwise negatively impacted, and we could be subject to costly and damaging product liability claims.</w:t>
      </w:r>
    </w:p>
    <w:p>
      <w:pPr>
        <w:spacing w:after="0" w:line="13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Even if we receive regulatory approval for pegozafermin or any future product candidates, we will have tested them in only a small number of patients during our clinical trials. If our applications for marketing are approved and more patients begin to use our product, new risks and side effects associated with our products may be discovered. As a</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result, regulatory authorities may revoke their approvals. Based on guidelines issued by the FDA for the development of drugs for the treatment of NASH, if pegozafermin is approved by the FDA based on a surrogate endpoint pursuant to section 506(c) of the Federal Food, Drug, and Cosmetic Act and the accelerated approval regulations (21 C.F.R. part 314, subpart H; 21 C.F.R. part 601, subpart E), consistent with FDA guidance, we will be required to conduct additional clinical trials establishing clinical benefit on the ultimate outcome of NASH. Under the Food and Drug Omnibus Reform Act of 2022, the FDA may require, as appropriate, that such studies be underway prior to approval or within a specific time period after the date of approval for a product granted accelerated approval. If pegozafermin is approved by the FDA for the treatment of SHTG based on an endpoint of the reduction of triglycerides, the FDA may still require a cardiovascular outcomes study as part of a post-marketing authorization commitment. Such a study would be time consuming and costly and we cannot guarantee that we will see positive results, which could result in the revocation of the approval. Additionally, we may be required to conduct additional clinical trials, make changes in labeling of our product, reformulate our product or make changes and obtain new approvals for our and our suppliers’ manufacturing facilities for pegozafermin and any future product candidates. We might have to withdraw or recall our products from the marketplace. We may also experience a significant drop in the potential sales of our product if and when regulatory approvals for such product are revoked. As a result, we may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93"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time-consuming and inherently unpredictable. Our inability to obtain regulatory approval for pegozafermin or any future product candidates would substantially harm our business.</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Currently, we do not have any product candidates that have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It is possible that none of pegozafermin or any future product candidates will ever obtain regulatory approval. Pegozafermin or any future product candidate could fail to receive regulatory approval from the FDA or comparable foreign regulatory authorities for many reasons, including those referenced in Part I, Item 1. “Business— Government Regulation and Product Approval” in this Annual Report on Form 10-K.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the product candidate.</w:t>
      </w:r>
    </w:p>
    <w:p>
      <w:pPr>
        <w:spacing w:after="0" w:line="19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breakthrough therapy designation for pegozafermin in NASH from the FDA, but such designation may not actually lead to a faster development or regulatory review or approval process. In addition, we may seek breakthrough therapy designation for other indications or future product candidates, but we might not receive such designation.</w:t>
      </w:r>
    </w:p>
    <w:p>
      <w:pPr>
        <w:spacing w:after="0" w:line="6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September 2023, we received Breakthrough Therapy designation for pegozafermin in NASH from the FDA. However, the receipt of Breakthrough Therapy designation for pegozafermin in NASH may not result in a faster development process, review or approval compared to drugs considered for approval under conventional FDA procedures and does not assure ultimate approval by the FDA.</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may seek Breakthrough Therapy designation for other indications or future product candidates. Designation as a breakthrough therapy is within the discretion of the FDA. Accordingly, even if we believe that a current or future product candidate meets the criteria for designation as a breakthrough therapy, the FDA may disagree and instead determine not to make such designation. In addition, even though pegozafermin is designated as a breakthrough therapy in NASH, the FDA may later decide that the product candidate no longer meets the conditions for designation and the designation may be rescinded. See Part I, Item 1. “Business— Expedited Programs for Serious Conditions” in this Annual Report on Form 10-K.</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for pegozafermin at sites outside the United States, and the FDA may not accept data from trials conducted in such locations.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conducted and expect in the future to conduct one or more of our clinical trials outside the United States.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pegozafermin or any future product candidate receives regulatory approval, it may still face future development and regulatory difficulties.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 issue safety alerts, Dear Healthcare Provider letters, press releases or other communications containing warnings about such product; mandate modifications to promotional materials or require us to provide corrective information to healthcare practitioners; require that we conduct post-marketing studies; require us to enter into a consent decree, which can include imposition of various fines, reimbursements for inspection costs, required due dates for specific actions and penalties for noncompliance; seek an injunction or impose civil or criminal penalties or monetary fines; suspend marketing of, withdraw regulatory approval of or recall such product; suspend any ongoing clinical studies; refuse to approve pending applications or supplements to applications filed by us; suspend or impose restrictions on operations, including costly new manufacturing requirements; or seize or detain products, refuse to permit the import or export of products or require us to initiate a product recall. The occurrence of any event or penalty described above may inhibit our ability to commercialize our products and generate product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biologics, and therefore they may be subject to competition sooner than anticipated.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processes intended to implement BPCIA may be fully adopted by the FDA, any of these processes could have a material adverse effect on the future commercial prospects for our biological products.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there is no legal challenge, (iii) 18 months after the resolution in the applicant’s favor of a lawsuit challenging the biologics’ patents if an application has been submitted, or (iv) 42 months after the application has been approved if a lawsuit is ongoing within the 42-month period. The approval of a biologic product biosimilar to one of our product candidates could have a material adverse impact on our business as it may be significantly less costly to bring to market and may be priced significantly lower than our product candidates.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Heightened governmental scrutiny over the manner in which manufacturers set prices for their marketed products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 On August 16, 2022, President Biden signed into law the Inflation Reduction Act of 2022 (“IRA”), which, among other provisions, included several measures intended to lower the cost of prescription drugs and related healthcare reforms. We cannot be sure whether additional legislation or rulemaking related to the IRA will be issued or enacted, or what impact, if any, such changes will have on the profitability of any of our drug candidates, if approved for commercial use, in the future.</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our product candidate, if approved, which could make it difficult for us to sell our product candidate or other therapies profitably.</w:t>
      </w:r>
    </w:p>
    <w:p>
      <w:pPr>
        <w:spacing w:after="0" w:line="5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success of pegozafermin, if approved, depends on the availability of coverage and adequate reimbursement from third-party payors including governmental healthcare programs, such as Medicare and Medicaid, commercial payors, and health maintenance organizations.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In addition, there can be considerable pressure by governments and other stakeholders on prices and reimbursement levels, including as part of cost containment measures. Political, economic and regulatory developments may further complicate pricing negotiations.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maintain intellectual property protection for our products and technologies.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will depend in significant part on our current or future licensors’, licensees’ or collaborators’ ability to establish and maintain adequate protection of our owned and licensed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hold issued patents, we have applied for patents, and we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and other technologies relating to our programs. There can be no assurance that any of these patent applications will issue as patents or, for those applications that do mature into patents, that the claims of the patents will exclude others from making, using or selling our product candidates or products that compete with or are similar to our product candidates. In countries where we have not sought and do not seek patent protection, third parties may be able to manufacture and sell our product candidates without our permission, and we may not be able to stop them from doing so.</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changes we make to our pegozafermin or any future product candidates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pegozafermin or any future product candidates.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Similar to the patent rights of other biotechnology companies, the scope, validity and enforceability of our owned and licensed patent rights generally are highly uncertain and involve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those third parties.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The applicable authorities, including the FDA in the United States, and any comparable foreign regulatory authorities,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pegozafermin or any future product candidates and our patents or other intellectual property rights may not be effective or sufficient to prevent them from competing.</w:t>
      </w:r>
    </w:p>
    <w:p>
      <w:pPr>
        <w:spacing w:after="0" w:line="17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license from Teva and a sublicense from ratiopharm to patents and know-how related to glycoPEGylation technology that are used in the development, manufacture and commercialization of pegozafermin. Any termination or loss of significant rights, including the right to glycoPEGylation technology, or breach, under these agreements or any future license agreement related to our product candidates, would materially and adversely affect our ability to continue the development and commercialization of the related product candidates.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April 2018, we entered into an Asset Transfer and License Agreement (the “FGF21 Agreement”) with Teva under which we acquired certain patents, intellectual property and other assets relating to Teva’s glycoPEGylated FGF21 program, including pegozafermin. Under this agreement, we were granted a perpetual, non-exclusive (but exclusive as to pegozafermin), non-transferable, worldwide license to patents and know-how related to glycoPEGylation technology used in the development, manufacture and commercialization of pegozafermin and products containing pegozafermin. The FGF21 Agreement also contains numerous covenants with which we must comply, including the utilization of commercially reasonable efforts to develop and ultimately commercialize pegozafermin, as well as certain reporting covenants and the obligation to make royalty payments, if and when pegozafermin is approved for commercialization. Our failure to satisfy any of these covenants could result in the termination of the FGF21 Agreement. In addition, we entered into a Sublicense Agreement with ratiopharm (the “ratiopharm Sublicense”), under which we were granted a perpetual, exclusive, worldwide sublicense to patents and know-how related to glycoPEGylation technology used in the development, manufacture and commercialization of pegozafermin and products containing pegozafermin. Termination of the FGF21 Agreement or the ratiopharm Sublicense will impact our rights under the intellectual property licensed to us by Teva and ratiopharm, respectively, including our license to glycoPEGylation technology, but will not affect our rights under the assets assigned to us.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Beyond this agreement, our commercial success will also depend upon our ability, and the ability of our licensors, to develop, manufacture, market and sell our product candidates and use our proprietary technologies without infringing the proprietary rights of third parties. A third party may hold intellectual property rights, including patent rights, that are important or necessary to the development of our product candidates. As a result, we may enter into additional license agreements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 to operate afforded by the agreements, or we may face other penalties under the agreements.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intellectual property rights or technology necessary to develop and commercialize pegozafermin and any future product candidates.</w:t>
      </w:r>
    </w:p>
    <w:p>
      <w:pPr>
        <w:spacing w:after="0" w:line="5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patent landscape around our programs is complex, and we are aware of several third-party patents and patent applications containing subject matter that might be relevant to pegozafermin. Depending on what claims ultimately issue from these patent applications, and how courts construe the issued patent claims, as well as depending on the ultimate formulation and method of use of pegozafermin or any future product candidates, we may need to obtain a license to practice the technology claimed in such patents. There can be no assurance that such licenses will be available on commercially reasonable terms, or at all.</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5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Third-party pre-issuance submission of prior art to the USPTO, or opposition, derivation, revocation, reexamination, inter partes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product candidates without patent protection, allow third parties to commercialize our technology or product candidates and compete directly with us, without payment to us, or could require us to obtain license rights from the prevailing party in order to be able to manufacture or commercialize our product candidates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Even if we successfully defend such litigation or proceeding, we may incur substantial costs and our defense may distract our management and other employees.</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including in oppositions, interferences, revocations, reexaminations, inter partes review or derivation proceedings before the USPTO or its counterparts in other jurisdictions. These proceedings can be expensive and time-consuming and many of our adversaries in these proceedings may have the ability to dedicate substantially greater resources to prosecuting these legal actions than we can. We could be found liable for monetary damages, including treble damages and attorneys’ fees, if we are found to have willfully infringed a patent of a third party. A finding of infringement could prevent us from commercializing our pegozafermin or any future product candidates or force us to cease some of our business operations, which could materially harm our business.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have reviewed certain third-party patents and patent filings that we believe may be relevant to our therapeutic candidates or products, we have not conducted a freedom-to-operate search or analysis for any of our therapeutic candidates or products, and we may not be aware of patents or pending or future patent applications that, if issued, would block us from commercializing our product candidates. Thus, we cannot guarantee that our product candidates, or our commercialization thereof, do not and will not infringe any third party’s intellectual property.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significantly and results announced by us and our collaborators or competitors could cause our stock price to decline, and you may lose all or part of your investment.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could fluctuate significantly, and you may not be able to resell your shares at or above the price you paid for your shares. Our stock price could fluctuate significantly due to various factors in addition to those otherwise described in this Annual Report on Form 10-K, including those described in these “Risk Factors,” including business developments announced by us and by our collaborators and competitors, or as a result of market trends and daily trading volume. The business developments that could affect our stock price include announcements or disclosures from competitors in the same class or category, new collaborations, clinical advancement, commercial launch or discontinuation of product candidates in the same class or category and regulatory approvals for our product candidates or product candidates in the same class or category. Our stock price could also fluctuate significantly with the level of overall investment interest in small-cap biotechnology stocks or for other reasons unrelated to our business. Any of these factors may result in large and sudden changes in the volume and trading price of our common stock. In the past, following periods of volatility in the market price of a company’s securities, stockholders have often instituted securities class action litigation against that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that such sales may occur, or issuance of shares of our common stock upon exercise of warrants could depress the price of our common stock.</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may occur, could depress the market price of our common stock. In addition, we have filed a registration statement registering under the Securities Act the shares of our common stock reserved for issuance under our 2019 Plan and 2023 Inducement Plan, including shares issuable upon exercise of outstanding options. These shares can be freely sold in the public market upon issuance, subject to volume limitations applicable to affiliates. Further, as opportunities present themselves, we may enter into financing or similar arrangements in the future, including the issuance of debt or equity securities.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must settle exercises of our outstanding warrants in shares of our common stock. The issuance of shares of our common stock upon exercise of the warrants will dilute the ownership interests of our stockholders, which could depress the trading price of our common stock. In addition, the market’s expectation that exercises may occur could depress the trading price of our common stock even in the absence of actual exercises. Moreover, the expectation of exercises could encourage the short selling of our common stock, which could place further downward pressure on the trading price of our common stock.</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and directors have entered or may enter into Rule 10b5-1 plans providing for sales of shares of our common stock from time to time. Under a Rule 10b5-1 plan, a broker executes trades pursuant to parameters established by the executive officer or director when entering into the plan, without further direction from the executive officer or director. A Rule 10b5-1 plan may be amended or terminated in some circumstances. Our executive officers and directors also may buy or sell additional shares outside of a Rule 10b5-1 plan when they are not in possession of material nonpublic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existing stockholders, restrict our operations or require us to relinquish rights to our technologies.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Existing stockholders could suffer dilution or be negatively affected by fixed payment obligations we may incur if we raise additional funds through the issuance of additional equity securities, including under the ATM Facility (defined above),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activity by investors in the warrants could depress the trading price of our common stock.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that many investors in our warrants will seek to employ an arbitrage strategy. Under this strategy, investors typically short sell a certain number of shares of our common stock and adjust their short position over time while they continue to hold the warrants. Investors may also implement this type of strategy by entering into swaps on our common stock in lieu of, or in addition to, short selling shares of our common stock. This market activity, or the market’s perception that it will occur, could depress the trading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current holders of 5% or more of our capital stock have substantial control over our company, which could limit your ability to influence the outcome of matters subject to stockholder approval, including a change of control.</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December 31, 2023, our executive officers, directors and other holders of 5% or more of our common stock beneficially owned a majority of our outstanding common stock. As a result, our executive officers, directors and other holders of 5% or more of our common stock, if they act, will be able to influence or control matters requiring approval by our stockholders, including the election of directors and the approval of mergers, acquisitions or other extraordinary transactions. In addition, our current directors, executive officers and other holders of 5% or more of our common stock, acting together, would have the ability to control the management and affairs of our company. They may also have interests that differ from yours and may vote in a way with which you disagree and that may be adverse to your interests. This concentration of ownership may have the effect of delaying, preventing or deterring a change of control of our company, could deprive our stockholders of an opportunity to receive a premium for their shares of our common stock as part of a sale of our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 If we are unable to maintain effective internal control over financial reporting, investors may lose confidence in the accuracy and completeness of our financial reports and the market price of our stock may decrease.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Sarbanes-Oxley Act of 2002 (the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Section 404(b) of the Sarbanes-Oxley Act (“Section 404”) also requires our independent auditors to express an opinion on our internal control over financial reporting. Ensuring that we have adequate internal controls in place so that we can produce accurate financial statements on a timely basis is a costly and time-consuming effort that will need to be evaluated frequently. If we are unable to maintain effective internal control over financial reporting, we may not have adequate, accurate or timely financial information, our independent registered public accounting firm may issue a report that is adverse,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If we are not able to comply with the requirements of Section 404 or if we or our independent registered public accounting firm are unable to express an opinion as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8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amended and restated bylaws and Delaware law could prevent a third party from acquiring us (even if an acquisition would benefit our stockholders), may limit the ability of our stockholders to replace our management and limit the price that investors might be willing to pay for shares of our common stock.</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could have the effect of making it more difficult for a third party to acquire, or of discouraging a third party from attempting to acquire, control of us. These provisions could delay or prevent a change in control of the Company and could limit the price that investors might be willing to pay in the future for shares of our common stock. In addition, as a Delaware corporation, we are subject to the anti-takeover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Delaware General Corporation Law could also have the effect of delaying or preventing a change of control of us.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certain actions or proceedings under Delaware statutory or common law. Our amended and restated certificate of incorporation provides further that the federal district courts of the United States will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If a court were to find the choice of forum provision contained in our amended and restated certificate of incorporation to be inapplicable or unenforceable, we may incur additional costs associated with resolving such action in other jurisdictions.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If we are required to pay any tax assessment, it could impact our net operating loss carryforwards, as well as our results of operations and financial condition.</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2023, we had U.S. federal and state net operating loss (“NOL”) carryforwards of $195.0 million and $302.8 million, respectively, which may be available to offset future taxable income. As of December 31, 2023, we also had gross federal tax credits of $7.5 million, which may be used to offset future tax liabilities. Certain NOLs and tax credit carryforwards will begin to expire in 2039. Use of our NOL carryforwards and tax credit carryforwards depends on many factors, including having current or future taxable income, which cannot be assured.</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in December 2023, the Israeli Tax Authorities issued a tax assessment claiming our 2019 reorganization and intercompany transaction to license the intellectual property rights from our subsidiary in Israel should be treated as a sale of intellectual property rights. If this matter is litigated and the Israeli Tax Authorities are able to successfully sustain their position and we are required to pay a tax assessment, it could impact our NOL carryforwards and our results of operations and financial condition could be materially and adversely affected. See further discussion in Part II, Item 7 “Management’s Discussion and Analysis of Financial Condition and Results of Operations—Critical Accounting Estimates—Income Taxes” and in Note 9 to our consolidated financial statements appearing under Part II, Item 8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We have implemented procedures for assessing, identifying and managing significant risks from cybersecurity threats and have incorporated these procedures into our overall risk management systems and processes. We regularly evaluate significant risks from cybersecurity attacks, including any potential unauthorized occurrence on or conducted through our information systems that may result in adverse effects on the confidentiality, integrity, or availability of our information systems or any information stored there. The program to manage cybersecurity risks has tools and activities designed to identify, examine and manage current and potential cybersecurity threats, as well as plans and strategies designed to deal with threats and incidents.</w:t>
      </w:r>
    </w:p>
    <w:p>
      <w:pPr>
        <w:spacing w:after="0" w:line="11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regularly evaluate the cybersecurity risks that could affect our information systems, as well as on an ad hoc basis when there is a significant change in how we do business that may expose our information systems to more such risks. These evaluations include identifying the possible internal and external risks, how likely and harmful they are, and whether our current policies, procedures, systems, and safeguards are adequate to handle them.</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use these risk assessments to design, implement, and maintain appropriate safeguards that are intended to mitigate identified risks, address any shortcomings in our existing safeguards, and regularly check how well our safeguards work. Our information technology (“IT”) department is primarily responsible for evaluating, overseeing, and handling our cybersecurity risks to manage the process of risk assessment and mitigation. We have established a cross-functional IT Security Steering Committee that oversees the management of our cybersecurity risks and execution of any mitigation efforts.</w:t>
      </w:r>
    </w:p>
    <w:p>
      <w:pPr>
        <w:spacing w:after="0" w:line="12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IT department and Company management work together to check and improve our safeguards as part of our overall risk management system. We also periodically provide training to our employees on these safeguards and keep them informed of our cybersecurity policies through regular communications across the Company.</w:t>
      </w:r>
    </w:p>
    <w:p>
      <w:pPr>
        <w:spacing w:after="0" w:line="122"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We work with consultants or other third parties as part of our risk assessment processes, when appropriate. They help us create and execute our cybersecurity policies and procedures and check and test our safeguards. We ask key third-party service providers to confirm that it can apply and keep appropriate cybersecurity measures in line with all relevant laws, to apply and keep reasonable cybersecurity measures when they work with us, and to promptly report any possible breach of their cybersecurity measures that could impact our company.</w:t>
      </w:r>
    </w:p>
    <w:p>
      <w:pPr>
        <w:spacing w:after="0" w:line="12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previous cybersecurity incidents, that have materially affected us, including our business strategy, results of operations or financial condition, but we face certain ongoing cybersecurity risks threats that, if realized, are reasonably likely to materially affect us. For additional information regarding these risks, please refer to Item 1A, “Risk Factors,” “We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have a material adverse effect on our reputation, business, financial condition or results of operations” in this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oversees our overall risk management process and significant risks facing us, including cybersecurity risks. The audit committee, which is comprised solely of independent directors, has been designated by our board of directors to oversee cybersecurity risks. Our board of directors oversees and evaluates strategic risk exposure, while our executive officers manage the significant risks we encounter on a daily basis.</w:t>
      </w:r>
    </w:p>
    <w:p>
      <w:pPr>
        <w:spacing w:after="0" w:line="12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receives periodic briefings from our Chief Financial Officer, the Chair of the IT Security Steering Committee, regarding our cybersecurity risks and activities, including any recent cybersecurity incidents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8" w:name="page59"/>
    <w:bookmarkEnd w:id="5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related responses, cybersecurity systems testing, and activities of third parties. Our audit committee provides periodic updates to the board of directors on such reports.</w:t>
      </w:r>
    </w:p>
    <w:p>
      <w:pPr>
        <w:spacing w:after="0" w:line="108"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The IT Security Steering Committee, which is in charge of our cybersecurity policies and procedures, including the ones discussed in “Risk Management and Strategy” above, is led by our Chief Financial Officer, who has eight years of senior leadership experience at public biotechnology companies, including five years with 89bio. The IT Security Steering committee also includes our Director of IT, who is an experienced Information Technology professional and has over 20 years of experience managing information technology, of which 10 years pertain to cybersecurity related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We lease office space in two buildings in San Francisco, California consisting of an aggregate of approximately 21,216 square feet. The leases expire in January 2025 and March 2027. We believe that our current space is adequate for our needs. We also believe we will be able to obtain additional space, as needed, on commercially reasonable terms</w:t>
      </w:r>
      <w:r>
        <w:rPr>
          <w:rFonts w:ascii="Times New Roman" w:cs="Times New Roman" w:eastAsia="Times New Roman" w:hAnsi="Times New Roman"/>
          <w:sz w:val="18"/>
          <w:szCs w:val="18"/>
          <w:color w:val="000000"/>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9" w:name="page60"/>
    <w:bookmarkEnd w:id="59"/>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“ETNB.”</w:t>
      </w:r>
    </w:p>
    <w:p>
      <w:pPr>
        <w:spacing w:after="0" w:line="17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February 21, 2024, there were approximately 5 stockholders of record of our common stock. Since many of our shares of common stock are held by brokers and other institutions on behalf of stockholders, we are unable to estimate the total number of stockholders represented by these record 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have no present intention to pay cash dividends on our common stock for the foreseeable future. Any determination to pay dividends to holders of our common stock will be at the discretion of our board of directors and will depend on many factors, including our financial condition, results of operations, liquidity, earnings, projected capital and other cash requirements, legal requirements, restrictions in the agreements governing any indebtedness we may enter into, business prospects and other factors that our board of directors deems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You should read the following discussion and analysis of our financial condition and results of operations together with our consolidated financial statements and related notes and other financial information included elsewhere in this Annual Report on Form 10-K. </w:t>
      </w:r>
      <w:r>
        <w:rPr>
          <w:rFonts w:ascii="Times New Roman" w:cs="Times New Roman" w:eastAsia="Times New Roman" w:hAnsi="Times New Roman"/>
          <w:sz w:val="18"/>
          <w:szCs w:val="18"/>
          <w:i w:val="1"/>
          <w:iCs w:val="1"/>
          <w:color w:val="000000"/>
        </w:rPr>
        <w:t>Some of the information contained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 xml:space="preserve">this discussion and analysis includes forward-looking statements that involve risks and uncertainties. Our actual results could differ materially from those described in or implied by these forward-looking statements. Factors that could cause or contribute to such differences include, but are not limited to, those identified below and those discussed in the section titled “Risk Factors” included elsewhere in this </w:t>
      </w:r>
      <w:r>
        <w:rPr>
          <w:rFonts w:ascii="Times New Roman" w:cs="Times New Roman" w:eastAsia="Times New Roman" w:hAnsi="Times New Roman"/>
          <w:sz w:val="18"/>
          <w:szCs w:val="18"/>
          <w:i w:val="1"/>
          <w:iCs w:val="1"/>
          <w:color w:val="231F20"/>
        </w:rPr>
        <w:t>Annual Report on Form 10-K</w:t>
      </w:r>
      <w:r>
        <w:rPr>
          <w:rFonts w:ascii="Times New Roman" w:cs="Times New Roman" w:eastAsia="Times New Roman" w:hAnsi="Times New Roman"/>
          <w:sz w:val="18"/>
          <w:szCs w:val="18"/>
          <w:i w:val="1"/>
          <w:iCs w:val="1"/>
          <w:color w:val="000000"/>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are a clinical-stage biopharmaceutical company focused on the development and commercialization of innovative therapies for the treatment of liver and cardio-metabolic diseases. Our lead product candidate, pegozafermin, a specifically engineered glycoPEGylated analog of fibroblast growth factor 21 (“FGF21”), is currently being developed for the treatment of nonalcoholic steatohepatitis (“NASH”) (also known as metabolic dysfunction-associated steatohepatitis (“MASH”)) and for the treatment of severe hypertriglyceridemia (“SHTG”). Refer to the “Business” section of Item 1 above for additional information related to our clinical development programs in NASH and SHTG.</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In the fourth quarter of 2023, we achieved a clinical development milestone related to the enrollment of patients in our ENTRUST clinical trial in SHTG and made a $2.5 million milestone payment under the Teva Agreements (as defined below).</w:t>
      </w:r>
    </w:p>
    <w:p>
      <w:pPr>
        <w:spacing w:after="0" w:line="16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231F20"/>
        </w:rPr>
        <w:t>We commenced operations in 2018 and have devoted substantially all of our resources to raising capital, acquiring our initial product candidate, identifying and developing pegozafermin, licensing certain related technology, conducting research and development activities (including preclinical studies and clinical trials) and providing general and administrative support for these activities.</w:t>
      </w:r>
    </w:p>
    <w:p>
      <w:pPr>
        <w:spacing w:after="0" w:line="176"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expect our existing cash, cash equivalents and marketable securities of $578.9 million as of December 31, 2023 will be sufficient to fund our planned operating expense and capital expenditure requirements for a period of at least one year </w:t>
      </w:r>
      <w:r>
        <w:rPr>
          <w:rFonts w:ascii="Times New Roman" w:cs="Times New Roman" w:eastAsia="Times New Roman" w:hAnsi="Times New Roman"/>
          <w:sz w:val="18"/>
          <w:szCs w:val="18"/>
          <w:color w:val="231F20"/>
        </w:rPr>
        <w:t>from the date this Annual Report on Form 10-K is 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with the SEC.</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net losses since our inception. Our net losses for the years ended December 31, 2023, 2022 and 2021 were $142.2 million, $102.0 million and $90.1 million, respectively. As of December 31, 2023, we had an accumulated deficit of $457.4 million. We expect to continue to incur significant expenses and increasing operating losses as we advance pegozafermin and any future product candidates through clinical trials, seek regulatory approval for pegozafermin and any future product candidates, expand our clinical, regulatory, quality, manufacturing and commercialization capabilities, protect our intellectual property, prepare for and, if approved, proceed to commercialization of pegozafermin and any future product candidates, expand our general and administrative support functions, including hiring additional personnel, and incur additional costs associated with operating as a public company. Our net losses may fluctuate significantly from quarter-to-quarter and year-to-year, depending on the timing of our clinical trials and our expenditures on other research and development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Research and development expenses consist primarily of costs incurred for the development of our lead product candidate, pegozafermin. Our research and development expenses consist primarily of external costs related to preclinical and clinical development, including costs related to acquiring patents and intellectual property, expenses incurred under license agreements and agreements with contract research organizations and consultants, costs related to acquiring and manufacturing clinical trial materials, including under agreements with contract manufacturing organizations and other vendors, costs related to the preparation of regulatory submissions and expenses related to laboratory supplies and services, as well as personnel costs. Personnel costs consist of salaries, employee benefits and stock-based compensation for individuals involved in research and development efforts.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line="1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We expense all research and development expenses in the periods in which they are incurred. We accrue for costs incurred as services are provided based on invoices and statements received from our external service providers and by monitoring the status of their activities. We adjust our accrued expenses as actual costs become known.</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Payments associated with licensing agreements to acquire licenses to develop, use, manufacture and commercialize products that have not reached technological feasibility and do not have alternate commercial use are expensed as incurred. Where contingent milestone payments are due to third parties under research and development arrangements or license agreements, the milestone payment obligations are expensed when payment becomes probable and reasonably estimable, which is generally upon achievement of the milestone.</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231F20"/>
        </w:rPr>
        <w:t>We expect our research and development expenses to increase for the foreseeable future as we continue the development of pegozafermin and continue to invest in research and development activities. The process of conducting the necessary clinical research to obtain regulatory approval is costly and time-consuming, and the successful development of pegozafermin and any future product candidates is highly uncertain. To the extent that pegozafermin continues to advance into larger and later stage clinical trials, our expenses will increase substantially and may become more variable. The actual probability of success for pegozafermin or any future product candidate may be affected by a variety of factors, including the safety and efficacy of our product candidates, investment in our clinical programs, manufacturing capability and competition with other products. As a result, we are unable to determine the timing of initiation, duration and completion costs of our research and development efforts or when and to what extent we will generate revenue from the commercialization and sale of pegozafermin or any future product candidate.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personnel costs, expenses for outside professional services, including legal, human resource, audit and accounting services, consulting costs and allocated facilities costs. Personnel and related costs consist of salaries, employee benefits and stock-based compensation for personnel in executive, finance, commercial and other administrative functions. Facilities costs consist of rent and maintenance of facilities. We expect our general and administrative expenses to increase for the foreseeable future as we increase the size of our administrative function to support the growth of our business and support our continued research and development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Expense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Interest expense consists of interest expense, accretion of final payment fees and amortization of deferred debt issuance costs related to our term loan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 and Other, Net</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Interest income and other, net primarily consists of interest income including accretion of discount on marketable securities, offset by amortization of premium on marketable securities</w:t>
      </w:r>
      <w:r>
        <w:rPr>
          <w:rFonts w:ascii="Times New Roman" w:cs="Times New Roman" w:eastAsia="Times New Roman" w:hAnsi="Times New Roman"/>
          <w:sz w:val="18"/>
          <w:szCs w:val="18"/>
          <w:i w:val="1"/>
          <w:iCs w:val="1"/>
          <w:color w:val="231F2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year ended December 31, 2023 compared to the year ended December 31, 2022 is presented below. A discussion regarding our financial condition and results of operations for the year ended December 31, 2022 compared to the year ended December 31, 2021 can be found in “Management’s Discussion and Analysis of Financial Condition and Results of Operations” in our Annual Report on Form 10-K filed with the SEC on March 15, 2023.</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summarizes our results of operations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2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122,230</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(151,204 )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(102,249 )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(48,955 )</w:t>
            </w: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(4,794 )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(1,922 )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(2,872 )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(3,867 )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(3,848 )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(142,189 )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(102,026 )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(40,163 )</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-976630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-976630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summarizes the period-over-period changes in research and development expenses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development</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02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44,683</w:t>
            </w:r>
          </w:p>
        </w:tc>
        <w:tc>
          <w:tcPr>
            <w:tcW w:w="6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manufacturing</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52,799</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122,230</w:t>
            </w:r>
          </w:p>
        </w:tc>
        <w:tc>
          <w:tcPr>
            <w:tcW w:w="3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Research and development expenses increased by $41.4 million to $122.2 million in 2023 from $80.8 million in 2022, which was primarily attributable to an increase in contract manufacturing costs for scale-up activities performed by our third-party contract manufacturing partner. Also contributing to the increase were personnel-related expenses due to higher employee headcount and related benefit costs including stock-based compensation expense. Research and development expenses included stock-based compensation expense of $7.0 million in 2023 compared to $4.1 million in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 Expenses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increased by $7.5 million to $29.0 million in 2023 from $21.5 million in 2022, which was primarily attributable to an increase in personnel-related expenses of $4.5 million due to higher employee headcount to support our growth, including stock-based compensation expense, increased consultant and professional fees of $3.7 million, partially offset by a decrease of $0.7 million in insurance-related and other costs. General and administrative expenses included stock-based compensation of $9.1 million in 2023 compared to $6.3 million in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Expense</w:t>
      </w:r>
    </w:p>
    <w:p>
      <w:pPr>
        <w:spacing w:after="0" w:line="121"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231F20"/>
        </w:rPr>
        <w:t>Interest expense increased by $2.9 million to $4.8 million in 2023 from $1.9 million in 2022, primarily due to a $1.2 million l</w:t>
      </w:r>
      <w:r>
        <w:rPr>
          <w:rFonts w:ascii="Times New Roman" w:cs="Times New Roman" w:eastAsia="Times New Roman" w:hAnsi="Times New Roman"/>
          <w:sz w:val="18"/>
          <w:szCs w:val="18"/>
          <w:color w:val="000000"/>
        </w:rPr>
        <w:t>oss</w:t>
      </w:r>
      <w:r>
        <w:rPr>
          <w:rFonts w:ascii="Times New Roman" w:cs="Times New Roman" w:eastAsia="Times New Roman" w:hAnsi="Times New Roman"/>
          <w:sz w:val="18"/>
          <w:szCs w:val="18"/>
          <w:color w:val="231F20"/>
        </w:rPr>
        <w:t xml:space="preserve"> upon extinguishment of our prior term loan, as well as higher average debt balances and interest rates in 2023 compared to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 and Other, Net</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Interest income and other, net increased by $15.5 million to $17.7 million in 2023 from $2.2 million in 2022, primarily due to </w:t>
      </w:r>
      <w:r>
        <w:rPr>
          <w:rFonts w:ascii="Times New Roman" w:cs="Times New Roman" w:eastAsia="Times New Roman" w:hAnsi="Times New Roman"/>
          <w:sz w:val="18"/>
          <w:szCs w:val="18"/>
          <w:color w:val="000000"/>
        </w:rPr>
        <w:t>interest earned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higher average cash equivalents and marketable securities balances in </w:t>
      </w:r>
      <w:r>
        <w:rPr>
          <w:rFonts w:ascii="Times New Roman" w:cs="Times New Roman" w:eastAsia="Times New Roman" w:hAnsi="Times New Roman"/>
          <w:sz w:val="18"/>
          <w:szCs w:val="18"/>
          <w:color w:val="231F20"/>
        </w:rPr>
        <w:t>2023 compared to 2022, as well as the favorable impact of higher interest rates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17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231F20"/>
        </w:rPr>
        <w:t>Income tax expense increased by $3.8 million in 2023 compared to 2022 due to certain tax-related accruals. Refer to Note 9 to our consolidated financial statements appearing under Part II, Item 8 of this Annual Report for additional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To date, we have incurred significant net losses and negative cash flows from operations. </w:t>
      </w:r>
      <w:r>
        <w:rPr>
          <w:rFonts w:ascii="Times New Roman" w:cs="Times New Roman" w:eastAsia="Times New Roman" w:hAnsi="Times New Roman"/>
          <w:sz w:val="18"/>
          <w:szCs w:val="18"/>
          <w:color w:val="231F20"/>
        </w:rPr>
        <w:t>As of December 31, 2023, we had cash,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marketable securities of $578.9 million and an accumulated deficit of $457.4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March 2021, we entered into an at-the-market sales agreement (as amended, the “Sales Agreement”) with Leerink Partners LLC and Cantor Fitzgerald &amp; Co. (the “Sales Agents”), pursuant to which we may offer and sell up to $75.0 million in gross aggregate proceeds of shares of our common stock (the “2021 ATM Facility”) from time to time pursuant to an effective registration statement. The Sales Agents are entitled to compensation at a commission of up to 3.0% of the aggregate gross sales price per share sold under the Sales Agreement. In 2021 and 2022, we sold shares of our common stock under the 2021 ATM Facility and received net proceeds of $3.3 million and $28.5 million, respectively. In February 2023, we sold shares of our common stock under the 2021 ATM Facility and received net proceeds of $13.4 million.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2023, we entered into an amendment to the Sales Agreement, pursuant to which we may offer and sell up to $150.0 million of shares of our common stock (the “2023 ATM Facility”) pursuant to an effective registration statement. In June 2023, we sold 1,200,539 shares of our common stock under the 2023 ATM Facility and received net proceeds of $23.7 million. As of December 31, 2023, there was $125.9 million remaining for future sales under the 2023 ATM Facility. During the three months ended December 31, 2023, there were no sales pursuant to the 2023 ATM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Underwritten Public Offerings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July 2022, we completed an underwritten public offering of our common stock, warrants to purchase shares of our common stock and pre-funded warrants to purchase shares of our common stock and raised net proceeds of $88.2 million, after deducting underwriting discounts and commissions of $5.7 million and other offering costs of $0.6 million.</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March 2023, we completed an underwritten public offering of our common stock and raised net proceeds of $296.8 million, after deducting underwriting discounts and commissions of $19.0 million and other offering costs of $0.5 million.</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December 2023, we completed an underwritten public offering of our common stock and pre-funded warrants to purchase shares of our common stock and raised net proceeds of $161.8 million, after deducting underwriting discounts and commissions of $10.4 million and other offering costs of $0.4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 January 2023, we entered into a loan and security agreement (the “2023 Loan Agreement”) with the lenders named therein (the “Lenders”). The 2023 Loan Agreement provides up to $100.0 million principal in term loans, consisting of an initial tranche of $25.0 million that was funded at closing, a second and third tranche of $15.0 million and $10.0 million, respectively, that may be funded upon the achievement of certain time-based, clinical and regulatory milestones, and a fourth tranche of up to $50.0 million that may be funded upon discretionary approval by the Lenders. Additionally, in January 2023, the initial tranche of $25.0 million that was funded at closing pursuant to our 2023 Loan Agreement was primarily used to repay our outstanding obligations under our term loan facility, as amended in May 2021, including the total principal amount outstanding as of December 31, 2022 of $20.0 million, the total final payment fee of $1.0 million and an early prepayment fee of $0.4 million. As of December 31, 2023, the second tranche of $15.0 million expired undrawn.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primary use of cash is to fund operating expenses, which consist primarily of research and development expenditures related to our lead product candidate, pegozafermin. We plan to increase our research and development expenses for the foreseeable future as we continue the clinical development of our current and future product candidates. At this time, due to the inherently unpredictable nature of clinical development, we cannot reasonably estimate the costs we will incur and the timelines that will be required to complete development, obtain marketing approval, and commercialize our current product candidate or any future product candidates. For the same reasons, we are also unable to predict when, if ever, we will generate revenue from product sales or our current or any future license agreements which we may enter into or whether, or when, if ever, we may achieve profitability. Clinical and preclinical development timelines, the probability of success, and development costs can differ materially from expectations. In addition, we cannot forecast the timing and amounts of milestone, royalty and other revenue from licensing activities, which future product candidates may be subject to future collaborations, when such arrangements will be secured, if at all, and to what degree such arrangements would affect our development plans and capital requirements.</w:t>
      </w:r>
    </w:p>
    <w:p>
      <w:pPr>
        <w:spacing w:after="0" w:line="18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Based on our current operating plan, we expect our existing cash, cash equivalents and marketable securities of $578.9 million as of December 31, 2023 will be sufficient to fund our operations for a period of at least one year from the date this Annual Report on Form 10-K is filed with the SEC. However, our operating plans and other demands on our cash resources may change as a result of many factors, and we may seek additional funds sooner than planned. There can be no assurance that we will be successful in acquiring additional funding at levels sufficient to fund our operations or on terms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Funding Requirements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future funding requirements will depend on many factors, including the following:</w:t>
      </w:r>
    </w:p>
    <w:p>
      <w:pPr>
        <w:spacing w:after="0" w:line="117" w:lineRule="exact"/>
        <w:rPr>
          <w:sz w:val="20"/>
          <w:szCs w:val="20"/>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progress, timing, scope, results and costs of our clinical trials of pegozafermin and preclinical studies or clinical trials of other potential product candidates we may choose to pursue in the future, including the ability to enroll patients in a timely manner for our clinical trials;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and timing of obtaining clinical and commercial supplies and validating the commercial manufacturing process for pegozafermin and any other product candidates we may identify and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timing and outcomes of regulatory approvals;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amount of any milestone, royalty or other payments we are required to make pursuant to current or any future collaboration or 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costs of acquiring or in-licensing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terms and timing of establishing and maintaining collaborations, licenses and other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associated with attracting, hiring and retaining additional qualified personnel as our business grows;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efforts to enhance operational systems and hire additional personnel to satisfy our obligations as a public company, including enhanced internal controls over financial reporting;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preparing, filing, prosecuting, defending and enforcing any patent claims and other intellectual property rights.</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generate substantial operating losses for the foreseeable future as we expand our research and development activities. We will continue to fund our operations primarily through utilization of our current financial resources and through additional raises of capital to advance our current product candidate through clinical development, to develop, acquire or in-license other potential product candidates and to fund operations for the foreseeable future. However, there is no assurance that such funding will be available to us or that it will be obtained on terms favorable to us or will provide us with sufficient funds to meet our objectives. Any failure to raise capital as and when needed could have a negative impact on our financial condition and on our ability to pursue our business plans and strategies.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through partnerships or licensing arrangements with third parties, we may have to relinquish valuable rights to our product candidates, future revenue streams or research programs or to grant licenses on terms that may not be favorable to us. If we raise additional capital through public or private equity offerings, the ownership interest of our then-existing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trials or preclinical studies, research and development programs or commercialization efforts or grant rights to develop and market our product candidates even if we would otherwise prefer to develop and market such product candidates ourselves.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42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(129,186 )</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(81,090 )</w:t>
            </w:r>
          </w:p>
        </w:tc>
      </w:tr>
      <w:tr>
        <w:trPr>
          <w:trHeight w:val="247"/>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(123,019 )</w:t>
            </w:r>
          </w:p>
        </w:tc>
        <w:tc>
          <w:tcPr>
            <w:tcW w:w="7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(33,943 )</w:t>
            </w: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513,111</w:t>
            </w:r>
          </w:p>
        </w:tc>
        <w:tc>
          <w:tcPr>
            <w:tcW w:w="3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117,831</w:t>
            </w:r>
          </w:p>
        </w:tc>
        <w:tc>
          <w:tcPr>
            <w:tcW w:w="100" w:type="dxa"/>
            <w:vAlign w:val="bottom"/>
          </w:tcPr>
          <w:p>
            <w:pPr>
              <w:spacing w:after="0"/>
              <w:rPr>
                <w:sz w:val="20"/>
                <w:szCs w:val="20"/>
                <w:color w:val="auto"/>
              </w:rPr>
            </w:pPr>
          </w:p>
        </w:tc>
      </w:tr>
      <w:tr>
        <w:trPr>
          <w:trHeight w:val="277"/>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260,906</w:t>
            </w:r>
          </w:p>
        </w:tc>
        <w:tc>
          <w:tcPr>
            <w:tcW w:w="3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For the year ended December 31, 2023, net cash used in operating activities of $129.2 million reflects a net loss of $142.2 million, partially offset by aggregate non-cash charges of $12.3 million and a net change of $0.7 million in our net operating assets and liabilities. The change in our operating assets and liabilities was primarily due to a net increase in accounts payable and accrued expenses of $4.0 million due to the timing of payments to vendors and a $3.7 million increase in other non-current liabilities related to tax accruals, offset in part by an increase in prepaid and other assets of $6.9 million related to our clinical trials, contract manufacturing and scale-up activities. Non-cash charges primarily included stock-based compensation expense of $16.1 million, a loss on debt extinguishment of $1.2 million related to our prior term loan, amortization of debt discount and accretion of the final payment fee related to our new term loan facility of $0.9 million, offset in part by net accretion of discounts on investments in marketable securities of $6.2 million.</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For the year ended December 31, 2022, net cash used in operating activities of $81.1 million reflects a net loss of $102.0 million, partially offset by aggregate non-cash charges of $10.4 million and a net change of $10.6 million in our net operating assets and liabilities. Non-cash charges primarily included stock-based compensation of $10.4 million, amortization of debt issuance costs and accretion of the final payment fee related to our term loan facility of $0.8 million, offset in part by net accretion of discounts on investments in marketable securities of $1.0 million. The change in our operating assets and liabilities was primarily due to an increase in accounts payable and accrued expenses of $7.4 million and a decrease in prepaid and other assets of $3.3 million due to the timing of payments to vendors.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For the year ended December 31, 2023, net cash used in investing activities was $123.0 million, which consisted of $341.1 million in purchases of marketable securities, offset in part by $218.1 million in proceeds from sales and maturities of marketable securities.</w:t>
      </w:r>
    </w:p>
    <w:p>
      <w:pPr>
        <w:spacing w:after="0" w:line="10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231F20"/>
        </w:rPr>
        <w:t>For the year ended December 31, 2022, net cash used in investing activities was $33.9 million, which consisted primarily of $152.7 million in purchases of marketable securities, offset by $118.8 million in proceeds from sales and maturities of marketable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2023, net cash provided by financing activities was $513.1 million, which primarily consisted of net proceeds of $458.8 million from the sale of common stock in public offerings, net proceeds of $37.1 million pursuant to the sale of our common stock under our 2021 ATM Facility and 2023 ATM Facility, net proceeds of $24.4 million from our new term loan facility pursuant to our 2023 Loan Agreement, and proceeds of $15.6 million from the exercise of warrants. This was offset in part by the repayment in full of $21.4 million on our prior term loan, including the final payment and prepayment fees, and payments for taxes of $2.3 million related to net share settlement upon vesting of restricted stock units.</w:t>
      </w:r>
    </w:p>
    <w:p>
      <w:pPr>
        <w:spacing w:after="0" w:line="1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For the year ended December 31, 2022, net cash provided by financing activities was $117.8 million, which consisted primarily of net proceeds of $88.2 million from the sale of common stock and warrants in public offering, net proceeds of $28.5 million pursuant to the sale of common stock from our 2021 ATM Facility and $1.1 million in net proceeds from the exercise of warrants to purchase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Debt Obligations</w:t>
      </w:r>
    </w:p>
    <w:p>
      <w:pPr>
        <w:spacing w:after="0" w:line="11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As of December 31, 2023, the outstanding debt balance of $24.8 million under our 2023 Loan Agreement is scheduled to mature on January 1, 2027 </w:t>
      </w:r>
      <w:r>
        <w:rPr>
          <w:rFonts w:ascii="Times New Roman" w:cs="Times New Roman" w:eastAsia="Times New Roman" w:hAnsi="Times New Roman"/>
          <w:sz w:val="18"/>
          <w:szCs w:val="18"/>
          <w:color w:val="000000"/>
        </w:rPr>
        <w:t>and provides for interest-only payments until February 1,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For additional information regarding the terms of the debt and interest payable, see Note 6 to our consolidated financial statements under Part II, Item 8 of this Annual Report on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Contractual Obligations and Commitments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requirements greater than one year related to other contractual obligations and commitments include the following:</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April 2018, we entered into two agreements (the “Teva Agreements”) with Teva Pharmaceutical Industries Ltd (“Teva”) under which we acquired certain patents and intellectual property relating to two programs. Under each Teva Agreement, we are required to pay Teva $2.5 million upon the achievement of a specified clinical development, and additional payments totaling up to $65.0 million upon achievement of certain commercial milestones. In addition, we are obligated to pay Teva tiered royalties at percentages in the low-to-mid single-digits on worldwide net sales on all products containing the Teva compounds. In the fourth quarter of 2023, a clinical development milestone was met for the FGF21 program under the Teva Agreements and we made a $2.5 million milestone payment. As of December 31, 2023, the timing and likelihood of achieving any remaining milestones are uncertain.</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We lease office space in two buildings in San Francisco, California consisting of an aggregate of approximately 21,216 square feet. The leases expire in January 2025 and March 2027. </w:t>
      </w:r>
      <w:r>
        <w:rPr>
          <w:rFonts w:ascii="Times New Roman" w:cs="Times New Roman" w:eastAsia="Times New Roman" w:hAnsi="Times New Roman"/>
          <w:sz w:val="18"/>
          <w:szCs w:val="18"/>
          <w:color w:val="000000"/>
        </w:rPr>
        <w:t>As of December 31, 2023, undiscounted future minimum lease payments of $2.9 million remain on our leases.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contract manufacturing organizations and other vendors for research and development services. Such agreements generally provide for termination upon written notice but obligate us to reimburse vendors for any time or costs incurred through the date of termination.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management’s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estimates under different assumptions or conditions. We believe that the accounting policies discussed below are critical to understanding our historical and future performance, as these policies relate to the more significant areas involving management’s judgments and estimate</w:t>
      </w:r>
      <w:r>
        <w:rPr>
          <w:rFonts w:ascii="Times New Roman" w:cs="Times New Roman" w:eastAsia="Times New Roman" w:hAnsi="Times New Roman"/>
          <w:sz w:val="18"/>
          <w:szCs w:val="18"/>
          <w:color w:val="000000"/>
        </w:rPr>
        <w:t>s.</w:t>
      </w:r>
    </w:p>
    <w:p>
      <w:pPr>
        <w:spacing w:after="0" w:line="10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record accrued expenses for estimated preclinical and clinical trial and research expenses related to the services performed but not yet invoiced or for which we have not received vendor statements pursuant to contracts with research institutions, contract research organizations and clinical manufacturing organizations that conduct and manage preclinical studies, and clinical trials, and research services on our behalf. Payments for these services are based on the terms of individual agreements and payment timing may differ significantly from the period in which the services were performed. Our estimates are based on factors such as the progress of work completed, including patient enrollment levels. We monitor patient enrollment levels and related activity to the extent reasonably possible and make judgments and estimates in determining the accrued balance in each reporting period. Our estimates of accrued expenses are based on the facts and circumstances known at the time. If we underestimate or overestimate the level of services performed or the costs of these services, our actual expenses could differ from our estimates. As actual costs become known, we adjust our accrued expenses. To date, we have not experienced significant changes in our estimates of preclinical studies and clinical trial accruals.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utilize stock options, restricted stock units (“RSUs”) and performance stock units (“PSUs”) for equity compensation. W</w:t>
      </w:r>
      <w:r>
        <w:rPr>
          <w:rFonts w:ascii="Times New Roman" w:cs="Times New Roman" w:eastAsia="Times New Roman" w:hAnsi="Times New Roman"/>
          <w:sz w:val="18"/>
          <w:szCs w:val="18"/>
          <w:color w:val="000000"/>
        </w:rPr>
        <w:t>e measure compensation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related to equity awards granted to employees, directors, and non-employee service providers based on estimated fair values and recognize stock-based compensation over the requisite service period. We recognize forfeitures as they occur.</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 awards on the date of grant, and the resulting stock-based compensation, using the Black-Scholes option-pricing model. We recognize compensation for stock option awards, including awards with graded-vesting, on a straight-line basis over the requisite service period.</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of stock option awards that requires the use of subjective assumptions to determine the fair value of equity awards. These assumptions include:</w:t>
      </w:r>
    </w:p>
    <w:p>
      <w:pPr>
        <w:spacing w:after="0" w:line="54" w:lineRule="exact"/>
        <w:rPr>
          <w:sz w:val="20"/>
          <w:szCs w:val="20"/>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volatility—We have a limited trading history for our common stock. As a result, we estimate the expected volatility based on a combination of our own historical stock price volatility and that of a publicly traded set of peer companies such that the time period over which historical volatility data used is at least equal to the expected term of the option award. The peer companies were chosen based on their similar size, stage in the life cycle, or area of specialty. We apply judgment in selecting a peer group as each of the peers are engaged in varied research and development activities, the timing and progress of which differ within the peer group.</w:t>
      </w:r>
    </w:p>
    <w:p>
      <w:pPr>
        <w:spacing w:after="0" w:line="75" w:lineRule="exact"/>
        <w:rPr>
          <w:rFonts w:ascii="Times New Roman" w:cs="Times New Roman" w:eastAsia="Times New Roman" w:hAnsi="Times New Roman"/>
          <w:sz w:val="18"/>
          <w:szCs w:val="18"/>
          <w:color w:val="auto"/>
        </w:rPr>
      </w:pPr>
    </w:p>
    <w:p>
      <w:pPr>
        <w:ind w:left="1020" w:right="24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of options granted to employees and directors is determined using the “simplified” method. Under this approach, the expected term is presumed to be the midpoint between the weighted-average vesting term and the contractual term of the option. The simplified method makes the assumption that the employee will exercise stock options evenly over the period when the stock options are vested and ending on the date when the stock options would expire. The expected option term for options granted to non-employees is estimated on a grant-by-grant basis.</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bonds in effect on the grant date for periods with an equivalent expected term as the option.</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dividend—We have never paid dividends and have no foreseeable plans to pay dividends on our shares of common stock. Therefore, we use an expected dividend of zero.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and expected term utilized for our stock-based compensation calculations on a prospective basis.</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The grant date fair value of RSUs and PSUs are based on the closing price of our common stock on the date of grant. RSUs are service-based awards and are recognized over the requisite service period on a straight-line basis. Compensation expense for PSUs is recognized over the estimated service period for each tranche of an award (the accelerated attribution method) when its performance condition is deemed probable of achievement. For PSUs containing performance conditions which were not deemed probable of achievement, no stock compensation expense is recognized. Additionally, at each reporting period, we evaluate the probable outcome of the performance conditions and as applicable, recognize the cumulative effect of the change in estimate in the period of the 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231F20"/>
        </w:rPr>
        <w:t>Deferred tax assets and liabilities are recognized for the expected tax consequences of temporary differences between the tax bases of assets and liabilities and their reported amounts using enacted tax rates in effect for the year the differences are expected to reverse. In evaluating our ability to recover our deferred tax assets, we consider all available positive and negative evidence, including our past operating results, the existence of cumulative losses in past fiscal years, and our forecast of future taxable income in the jurisdictions in which we have operations.</w:t>
      </w:r>
    </w:p>
    <w:p>
      <w:pPr>
        <w:spacing w:after="0" w:line="126"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231F20"/>
        </w:rPr>
        <w:t>We have established a valuation allowance on our U.S. deferred tax assets because realization of these tax benefits through future taxable income does not meet the more-likely-than-not threshold. We intend to maintain the valuation allowances until sufficient positive evidence exists to support the reversal of the valuation allowances.</w:t>
      </w:r>
    </w:p>
    <w:p>
      <w:pPr>
        <w:spacing w:after="0" w:line="12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The calculation of our tax liabilities involves dealing with uncertainties in the application of complex tax laws. Our estimate for the potential outcome of any uncertain tax issue is based on the detailed facts and circumstances of each issue. For example, in December 2023, we received a primary assessment from the Israeli Tax Authorities (“ITA”) related to our 2019 reorganization and intercompany transaction to license the intellectual property rights from our Israeli subsidiary to our U.S. entity. The ITA has alleged that the transaction is deemed to be a sale of intellectual property rights. We are appealing the tax assessment and intend to continue to challenge the ITA’s position. We believe our accruals for unrecognized tax benefits as of December 31, 2023 are adequate. However, it is possible that the final resolution of this matter could have a material impact on our consolidated financial statements. See further discussion in Note 9 to our consolidated financial statements appearing under Part II, Item 8 of this Annual Report on Form 10-K.</w:t>
      </w:r>
    </w:p>
    <w:p>
      <w:pPr>
        <w:spacing w:after="0" w:line="13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231F20"/>
        </w:rPr>
        <w:t>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to be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income tax expense in the period of 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Accounting Pronouncements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See Note 2 to our consolidated financial statements appearing under Part II, Item 8 of this Annual Report on Form 10-K for more information about recent accounting pronouncements, the timing of their adoption, and our assessment, to the extent we have made one yet, of their potential impact on our financial condition of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Emerging Growth Company and Smaller Reporting Company Status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Prior to December 31, 2023, we were an “emerging growth company”, as defined in Section 2(a) of the Securities Act, as modified by the Jumpstart Our Business Startups Act of 2012, and we were eligible to take advantage of certain exemptions from various reporting requirements that are applicable to other public companies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that are not emerging growth companies, including relief from the auditor attestation requirements of Section 404 of the Sarbanes-Oxley Act of 2002, as amended,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Effective December 31, 2023, the Company exited its emerging growth company status and met the definition of a large accelerated filer, as defined under Rule 12b-2 of the Exchange Act. Therefore, we are required to comply with new or revised financial accounting standards as of the effective dates applicable to public companies that are not emerging growth companies. This change in filer status did not have a material impact on our financial statements. In accordance with SEC rules, we are availing ourselves of the exemptions from disclosure requirements, including certain of the reduced and scaled disclosure obligations, that are available to smaller reporting companies. However, beginning with our Quarterly Report on Form 10-Q for the quarter ending March 31, 2024, we will no longer be permitted to take advantage of the reduced reporting requirements applicable to smaller reporting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December 31, 2023, we had cash, cash equivalents and marketable securities of $578.9 million. We invest our excess cash primarily in money market funds and certificates of deposit, securities issued by the U.S. government and its agencies, corporate debt securities and commercial paper. We place our investments with high-quality credit issuers and, by policy, limit the amount of credit exposure to any one issuer. A portion of our investments consisting of interest-bearing securities are subject to interest rate risk and could decline in value due to a rise in interest rates. The portfolio includes cash equivalents and investments in marketable securities with active secondary or resale markets to ensure portfolio liquidity. Due to the conservative nature of these instruments and the short-term maturities of our investments, </w:t>
      </w:r>
      <w:r>
        <w:rPr>
          <w:rFonts w:ascii="Times New Roman" w:cs="Times New Roman" w:eastAsia="Times New Roman" w:hAnsi="Times New Roman"/>
          <w:sz w:val="18"/>
          <w:szCs w:val="18"/>
          <w:color w:val="000000"/>
        </w:rPr>
        <w:t>we do not believe that a change in market interest rates would have a significant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negative impact on the value of our investment portfolio except for reduced income in a low interest rate environment.</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As of December 31, 2023, our term loan borrowings outstanding were $24.8 million. The term loan has a variable interest rate calculated by reference to the Prime Rate and matures in 2027. We carry these instruments at face value, less unamortized discounts and issuance costs, on our accompanying consolidated balance sheets. Based on the outstanding balance at December 31, 2023, an immediate 10% change in interest rates would not have a material effect on the fair value of our term loan, and would not have a significant impact on our financial statements as we do not record debt at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Foreign Exchange Risk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As a result of our operations in Israel, we have exposure to fluctuations in exchange rates from transactions that are denominated in the New Israeli Shekel (“NIS”). The functional currency of our subsidiary in Israel is the U.S. Dollar. Our exposure arises primarily from cash, accounts payable and accrued expenses denominated in NIS. We have not hedged our foreign currency since the exposure has not been material to our historical operating results. Based on our foreign currency exchange rate exposures at December 31, 2023, a hypothetical 10% adverse fluctuation in the average exchange rate of the NIS would not have had a material impact on our consolidated financial statements. We will continue to monitor and evaluate our exposure to foreign exchange risk as a result of entering into transactions denominated in currencies other than the U.S. Dollar.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Page</w:t>
            </w:r>
          </w:p>
        </w:tc>
      </w:tr>
      <w:tr>
        <w:trPr>
          <w:trHeight w:val="337"/>
        </w:trPr>
        <w:tc>
          <w:tcPr>
            <w:tcW w:w="20" w:type="dxa"/>
            <w:vAlign w:val="bottom"/>
          </w:tcPr>
          <w:p>
            <w:pPr>
              <w:spacing w:after="0"/>
              <w:rPr>
                <w:sz w:val="24"/>
                <w:szCs w:val="24"/>
                <w:color w:val="auto"/>
              </w:rPr>
            </w:pPr>
          </w:p>
        </w:tc>
        <w:tc>
          <w:tcPr>
            <w:tcW w:w="4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060" w:type="dxa"/>
            <w:vAlign w:val="bottom"/>
          </w:tcPr>
          <w:p>
            <w:pPr>
              <w:spacing w:after="0"/>
              <w:rPr>
                <w:sz w:val="24"/>
                <w:szCs w:val="24"/>
                <w:color w:val="auto"/>
              </w:rPr>
            </w:pP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5"/>
        </w:trPr>
        <w:tc>
          <w:tcPr>
            <w:tcW w:w="20" w:type="dxa"/>
            <w:vAlign w:val="bottom"/>
          </w:tcPr>
          <w:p>
            <w:pPr>
              <w:spacing w:after="0"/>
              <w:rPr>
                <w:sz w:val="21"/>
                <w:szCs w:val="21"/>
                <w:color w:val="auto"/>
              </w:rPr>
            </w:pPr>
          </w:p>
        </w:tc>
        <w:tc>
          <w:tcPr>
            <w:tcW w:w="5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9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68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2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tcPr>
          <w:p>
            <w:pPr>
              <w:spacing w:after="0"/>
              <w:rPr>
                <w:sz w:val="24"/>
                <w:szCs w:val="24"/>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89bio,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89bio, Inc. and subsidiaries (the Company) as of December 31, 2023 and 2022, the related consolidated statements of operations and comprehensive loss,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Assessment of an uncertain tax position</w:t>
      </w:r>
    </w:p>
    <w:p>
      <w:pPr>
        <w:spacing w:after="0" w:line="227" w:lineRule="exact"/>
        <w:rPr>
          <w:sz w:val="20"/>
          <w:szCs w:val="20"/>
          <w:color w:val="auto"/>
        </w:rPr>
      </w:pPr>
    </w:p>
    <w:p>
      <w:pPr>
        <w:ind w:left="260" w:right="20"/>
        <w:spacing w:after="0" w:line="256" w:lineRule="auto"/>
        <w:rPr>
          <w:sz w:val="20"/>
          <w:szCs w:val="20"/>
          <w:color w:val="auto"/>
        </w:rPr>
      </w:pPr>
      <w:r>
        <w:rPr>
          <w:rFonts w:ascii="Times New Roman" w:cs="Times New Roman" w:eastAsia="Times New Roman" w:hAnsi="Times New Roman"/>
          <w:sz w:val="18"/>
          <w:szCs w:val="18"/>
          <w:color w:val="auto"/>
        </w:rPr>
        <w:t>As discussed in Note 9 to the consolidated financial statements, the Company is involved in a tax proceeding in Israel. This proceeding involves uncertainties in the estimation of the related tax exposures. The Company has disclosed unrecognized tax benefits of $12.1 million as of December 31, 2023, a portion of which relates to the Israeli tax proceeding. As discussed in Note 2,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w:t>
      </w:r>
    </w:p>
    <w:p>
      <w:pPr>
        <w:spacing w:after="0" w:line="187" w:lineRule="exact"/>
        <w:rPr>
          <w:sz w:val="20"/>
          <w:szCs w:val="20"/>
          <w:color w:val="auto"/>
        </w:rPr>
      </w:pPr>
    </w:p>
    <w:p>
      <w:pPr>
        <w:ind w:left="260" w:right="2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uncertain tax positions impacted by the tax proceeding in Israel as a critical audit matter. Complex auditor judgment and specialized skills and knowledge were required to evaluate the Company’s interpretation of tax law, judgments about the likelihood of the Company’s position being sustained, and the estimates of the ultimate resolution of the tax positions.</w:t>
      </w:r>
    </w:p>
    <w:p>
      <w:pPr>
        <w:spacing w:after="0" w:line="176" w:lineRule="exact"/>
        <w:rPr>
          <w:sz w:val="20"/>
          <w:szCs w:val="20"/>
          <w:color w:val="auto"/>
        </w:rPr>
      </w:pPr>
    </w:p>
    <w:p>
      <w:pPr>
        <w:ind w:left="26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an internal control related to the Company’s process to evaluate uncertain tax positions and to estimate the related exposures. We inquired of the Company’s tax department and external tax professionals and inspected correspondence with the relevant tax authorities. We involved tax professionals with specialized skills and knowledge, who assisted in evaluating the Company’s interpretation of the tax law and its conclusions over the estimate of tax uncertainties based on their knowledge and experience regarding the application of relevant legislation by tax authorities and the courts. We performed an independent assessment of the tax position and the amount of unrecognized tax benefits and compared these results to the Company's assessment.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89bio,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55,255</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262,709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132,905</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593,534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596,269</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196,824</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Term loan, non-current,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6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59,963</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44,992</w:t>
            </w:r>
          </w:p>
        </w:tc>
        <w:tc>
          <w:tcPr>
            <w:tcW w:w="100" w:type="dxa"/>
            <w:vAlign w:val="bottom"/>
            <w:tcBorders>
              <w:top w:val="single" w:sz="8" w:color="CFF0FC"/>
            </w:tcBorders>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200,000,000 and 100,000,000 shares authorized and 93,269,377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50,560,590 shares issued and outstanding as of December 31, 2023 and 2022, 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25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993,455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467,374</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(457,432 )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(315,243 )</w:t>
            </w:r>
          </w:p>
        </w:tc>
      </w:tr>
      <w:tr>
        <w:trPr>
          <w:trHeight w:val="236"/>
        </w:trPr>
        <w:tc>
          <w:tcPr>
            <w:tcW w:w="76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536,306</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151,832</w:t>
            </w:r>
          </w:p>
        </w:tc>
        <w:tc>
          <w:tcPr>
            <w:tcW w:w="100" w:type="dxa"/>
            <w:vAlign w:val="bottom"/>
            <w:tcBorders>
              <w:top w:val="single" w:sz="8" w:color="CFF0FC"/>
            </w:tcBorders>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596,269</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-3942715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-3942715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-3316605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-3316605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-2357120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-2357120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-1731010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-1731010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-350520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-350520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621665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3" w:right="3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89bio,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122,230</w:t>
            </w:r>
          </w:p>
        </w:tc>
        <w:tc>
          <w:tcPr>
            <w:tcW w:w="8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(151,204 )</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(102,249 )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(89,743 )</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(4,794 )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(1,922 )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4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(138,322 )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(102,007 )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(90,269 )</w:t>
            </w:r>
          </w:p>
        </w:tc>
        <w:tc>
          <w:tcPr>
            <w:tcW w:w="0" w:type="dxa"/>
            <w:vAlign w:val="bottom"/>
          </w:tcPr>
          <w:p>
            <w:pPr>
              <w:spacing w:after="0"/>
              <w:rPr>
                <w:sz w:val="1"/>
                <w:szCs w:val="1"/>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(3,867 )</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(142,189 )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(102,026 )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(90,122 )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(141,649 )</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(102,312 )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(90,176 )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71,172,870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34,806,349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-2416810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-2416810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-1774190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-1774190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-1447800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-1447800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-822325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-822325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-479425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-496570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-479425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89bio,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020" w:type="dxa"/>
            <w:vAlign w:val="bottom"/>
            <w:gridSpan w:val="3"/>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18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19,931,660</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326,046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(123,095 )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202,961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at-the-market public</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186,546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offerings, net of issuance costs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188,286</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ESPP purchases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warrant in connection with term loan</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facility</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(90,122 )</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(90,122 )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20,317,204</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339,218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(64 )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(213,217 )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125,957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warrants in public</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18,675,466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88,219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at-the-market public</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3,948,611</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28,449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4,202,499</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cashless exercise of warrants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3,143,682</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(3 )</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151,061</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ESPP purchases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18,364</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103,703</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(298 )</w:t>
            </w:r>
          </w:p>
        </w:tc>
        <w:tc>
          <w:tcPr>
            <w:tcW w:w="20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(298 )</w:t>
            </w:r>
          </w:p>
        </w:tc>
        <w:tc>
          <w:tcPr>
            <w:tcW w:w="0" w:type="dxa"/>
            <w:vAlign w:val="bottom"/>
          </w:tcPr>
          <w:p>
            <w:pPr>
              <w:spacing w:after="0"/>
              <w:rPr>
                <w:sz w:val="1"/>
                <w:szCs w:val="1"/>
                <w:color w:val="auto"/>
              </w:rPr>
            </w:pPr>
          </w:p>
        </w:tc>
      </w:tr>
      <w:tr>
        <w:trPr>
          <w:trHeight w:val="18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 withholding for net share settlement</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10,356</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(102,026 )</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(102,026 )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(286 )</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(286 )</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50,560,590</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467,374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(350 )</w:t>
            </w:r>
          </w:p>
        </w:tc>
        <w:tc>
          <w:tcPr>
            <w:tcW w:w="1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(315,243 )</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warrants in public</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37,029,105</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37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458,553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offerings, net of issuance costs</w:t>
            </w: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at-the-market public offerings,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2,168,539</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37,087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issuance costs</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warrants related to term loan facility</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2,927,570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247,162</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309,194</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(2,732 )</w:t>
            </w:r>
          </w:p>
        </w:tc>
        <w:tc>
          <w:tcPr>
            <w:tcW w:w="200" w:type="dxa"/>
            <w:vAlign w:val="bottom"/>
          </w:tcPr>
          <w:p>
            <w:pPr>
              <w:spacing w:after="0"/>
              <w:rPr>
                <w:sz w:val="12"/>
                <w:szCs w:val="12"/>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(2,732 )</w:t>
            </w:r>
          </w:p>
        </w:tc>
        <w:tc>
          <w:tcPr>
            <w:tcW w:w="0" w:type="dxa"/>
            <w:vAlign w:val="bottom"/>
          </w:tcPr>
          <w:p>
            <w:pPr>
              <w:spacing w:after="0"/>
              <w:rPr>
                <w:sz w:val="1"/>
                <w:szCs w:val="1"/>
                <w:color w:val="auto"/>
              </w:rPr>
            </w:pPr>
          </w:p>
        </w:tc>
      </w:tr>
      <w:tr>
        <w:trPr>
          <w:trHeight w:val="18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 withholding for net share settlement</w:t>
            </w: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ESPP purchases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27,217</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(142,189 )</w:t>
            </w: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(142,189 )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93,269,377</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93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993,455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(457,432 )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536,306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-1662430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-1662430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-1662430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-1662430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-1662430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89bio,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(142,189 )</w:t>
            </w:r>
          </w:p>
        </w:tc>
        <w:tc>
          <w:tcPr>
            <w:tcW w:w="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(102,026 )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(90,122 )</w:t>
            </w:r>
          </w:p>
        </w:tc>
      </w:tr>
      <w:tr>
        <w:trPr>
          <w:trHeight w:val="23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100" w:type="dxa"/>
            <w:vAlign w:val="bottom"/>
          </w:tcPr>
          <w:p>
            <w:pPr>
              <w:spacing w:after="0"/>
              <w:rPr>
                <w:sz w:val="19"/>
                <w:szCs w:val="19"/>
                <w:color w:val="auto"/>
              </w:rPr>
            </w:pPr>
          </w:p>
        </w:tc>
      </w:tr>
      <w:tr>
        <w:trPr>
          <w:trHeight w:val="23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(accretion) amortization of investments in marketable securities</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(6,242 )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(980 )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discount and accretion of deferred debt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9"/>
                <w:szCs w:val="19"/>
                <w:color w:val="auto"/>
              </w:rPr>
            </w:pPr>
          </w:p>
        </w:tc>
      </w:tr>
      <w:tr>
        <w:trPr>
          <w:trHeight w:val="23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(150 )</w:t>
            </w:r>
          </w:p>
        </w:tc>
      </w:tr>
      <w:tr>
        <w:trPr>
          <w:trHeight w:val="239"/>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and other assets</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(6,921 )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(5,672 )</w:t>
            </w:r>
          </w:p>
        </w:tc>
      </w:tr>
      <w:tr>
        <w:trPr>
          <w:trHeight w:val="239"/>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(3,917 )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Pr>
          <w:p>
            <w:pPr>
              <w:spacing w:after="0"/>
              <w:rPr>
                <w:sz w:val="19"/>
                <w:szCs w:val="19"/>
                <w:color w:val="auto"/>
              </w:rPr>
            </w:pPr>
          </w:p>
        </w:tc>
      </w:tr>
      <w:tr>
        <w:trPr>
          <w:trHeight w:val="239"/>
        </w:trPr>
        <w:tc>
          <w:tcPr>
            <w:tcW w:w="6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(121 )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(184 )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(129,186 )</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(81,090 )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(76,781 )</w:t>
            </w:r>
          </w:p>
        </w:tc>
      </w:tr>
      <w:tr>
        <w:trPr>
          <w:trHeight w:val="221"/>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218,133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118,760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148,422</w:t>
            </w: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(341,148 )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(152,696 )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(141,200 )</w:t>
            </w:r>
          </w:p>
        </w:tc>
      </w:tr>
      <w:tr>
        <w:trPr>
          <w:trHeight w:val="22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r>
      <w:tr>
        <w:trPr>
          <w:trHeight w:val="23"/>
        </w:trPr>
        <w:tc>
          <w:tcPr>
            <w:tcW w:w="69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(123,019 )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(33,943 )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and warrants in public offerings, net of issuance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in at-the-market public offering, net of issuance costs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37,089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term loan facility, net of issuance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19,951</w:t>
            </w:r>
          </w:p>
        </w:tc>
        <w:tc>
          <w:tcPr>
            <w:tcW w:w="100" w:type="dxa"/>
            <w:vAlign w:val="bottom"/>
          </w:tcPr>
          <w:p>
            <w:pPr>
              <w:spacing w:after="0"/>
              <w:rPr>
                <w:sz w:val="19"/>
                <w:szCs w:val="19"/>
                <w:color w:val="auto"/>
              </w:rPr>
            </w:pPr>
          </w:p>
        </w:tc>
      </w:tr>
      <w:tr>
        <w:trPr>
          <w:trHeight w:val="23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common stock warrants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9"/>
                <w:szCs w:val="19"/>
                <w:color w:val="auto"/>
              </w:rPr>
            </w:pPr>
          </w:p>
        </w:tc>
      </w:tr>
      <w:tr>
        <w:trPr>
          <w:trHeight w:val="23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upon ESPP purchases</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FF0FC"/>
          </w:tcPr>
          <w:p>
            <w:pPr>
              <w:spacing w:after="0"/>
              <w:rPr>
                <w:sz w:val="20"/>
                <w:szCs w:val="20"/>
                <w:color w:val="auto"/>
              </w:rPr>
            </w:pPr>
          </w:p>
        </w:tc>
      </w:tr>
      <w:tr>
        <w:trPr>
          <w:trHeight w:val="22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taxes related to net share settlement upon vesting of restricted stock units</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(2,275 )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(298 )</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Repayment of term loan</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(21,400 )</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513,111</w:t>
            </w: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117,831</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23,871</w:t>
            </w:r>
          </w:p>
        </w:tc>
        <w:tc>
          <w:tcPr>
            <w:tcW w:w="100" w:type="dxa"/>
            <w:vAlign w:val="bottom"/>
            <w:tcBorders>
              <w:top w:val="single" w:sz="8" w:color="CFF0FC"/>
            </w:tcBorders>
          </w:tcPr>
          <w:p>
            <w:pPr>
              <w:spacing w:after="0"/>
              <w:rPr>
                <w:sz w:val="19"/>
                <w:szCs w:val="19"/>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260,906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(45,751 )</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52,457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98,208</w:t>
            </w:r>
          </w:p>
        </w:tc>
        <w:tc>
          <w:tcPr>
            <w:tcW w:w="100" w:type="dxa"/>
            <w:vAlign w:val="bottom"/>
          </w:tcPr>
          <w:p>
            <w:pPr>
              <w:spacing w:after="0"/>
              <w:rPr>
                <w:sz w:val="19"/>
                <w:szCs w:val="19"/>
                <w:color w:val="auto"/>
              </w:rPr>
            </w:pPr>
          </w:p>
        </w:tc>
      </w:tr>
      <w:tr>
        <w:trPr>
          <w:trHeight w:val="26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316,161</w:t>
            </w:r>
          </w:p>
        </w:tc>
        <w:tc>
          <w:tcPr>
            <w:tcW w:w="8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55,255</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52,457</w:t>
            </w:r>
          </w:p>
        </w:tc>
        <w:tc>
          <w:tcPr>
            <w:tcW w:w="100" w:type="dxa"/>
            <w:vAlign w:val="bottom"/>
            <w:shd w:val="clear" w:color="auto" w:fill="CFF0FC"/>
          </w:tcPr>
          <w:p>
            <w:pPr>
              <w:spacing w:after="0"/>
              <w:rPr>
                <w:sz w:val="22"/>
                <w:szCs w:val="22"/>
                <w:color w:val="auto"/>
              </w:rPr>
            </w:pPr>
          </w:p>
        </w:tc>
      </w:tr>
      <w:tr>
        <w:trPr>
          <w:trHeight w:val="208"/>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cash and cash equivalents, and restricted cash:</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316,161</w:t>
            </w:r>
          </w:p>
        </w:tc>
        <w:tc>
          <w:tcPr>
            <w:tcW w:w="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52,432</w:t>
            </w:r>
          </w:p>
        </w:tc>
        <w:tc>
          <w:tcPr>
            <w:tcW w:w="100" w:type="dxa"/>
            <w:vAlign w:val="bottom"/>
            <w:shd w:val="clear" w:color="auto" w:fill="CFF0FC"/>
          </w:tcPr>
          <w:p>
            <w:pPr>
              <w:spacing w:after="0"/>
              <w:rPr>
                <w:sz w:val="20"/>
                <w:szCs w:val="20"/>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r>
      <w:tr>
        <w:trPr>
          <w:trHeight w:val="26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 and restricted cash</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316,161</w:t>
            </w:r>
          </w:p>
        </w:tc>
        <w:tc>
          <w:tcPr>
            <w:tcW w:w="8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55,255</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52,457</w:t>
            </w:r>
          </w:p>
        </w:tc>
        <w:tc>
          <w:tcPr>
            <w:tcW w:w="100" w:type="dxa"/>
            <w:vAlign w:val="bottom"/>
            <w:shd w:val="clear" w:color="auto" w:fill="CFF0FC"/>
          </w:tcPr>
          <w:p>
            <w:pPr>
              <w:spacing w:after="0"/>
              <w:rPr>
                <w:sz w:val="22"/>
                <w:szCs w:val="22"/>
                <w:color w:val="auto"/>
              </w:rPr>
            </w:pPr>
          </w:p>
        </w:tc>
      </w:tr>
      <w:tr>
        <w:trPr>
          <w:trHeight w:val="208"/>
        </w:trPr>
        <w:tc>
          <w:tcPr>
            <w:tcW w:w="6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information:</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72"/>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information:</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offering costs included in accrued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9"/>
                <w:szCs w:val="19"/>
                <w:color w:val="auto"/>
              </w:rPr>
            </w:pPr>
          </w:p>
        </w:tc>
        <w:tc>
          <w:tcPr>
            <w:tcW w:w="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 of lease liability and right of use asset in connection with lease modification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warrant in connection with term loan facility</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-4636770</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-4636770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-4045585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-4045585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-2571115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-2571115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-1962150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-1945005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-1962150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-1945005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-1344930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-1328420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-1344930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-1328420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-1028065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-1028065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-1010920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-367665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-351155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-367665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-351155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7" w:name="page78"/>
    <w:bookmarkEnd w:id="7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89bio,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89bio, Inc. (“89bio” or the “Company”) is a clinical-stage biopharmaceutical company focused on the development and commercialization of innovative therapies for the treatment of liver and cardio-metabolic diseases. The Company’s lead product candidate, pegozafermin, a specifically engineered glycoPEGylated analog of fibroblast growth factor 21 (“FGF21”), is currently being developed for the treatment of nonalcoholic steatohepatitis (“NASH”) (also known as metabolic dysfunction-associated steatohepatitis (“MASH”)) and for the treatment of severe hypertriglyceridemia (“SHTG”).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89bio, Inc. was formed as a Delaware corporation in June 2019 to carry on the business of 89Bio Ltd., which was incorporated in Israel in January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since inception and had an accumulated deficit of $457.4 million as of December 31, 2023. The Company has historically financed its operations primarily through the sale of equity securities, including warrants, and from borrowings under term loan facilities. To date, none of the Company’s product candidates have been approved for sale, and the Company has not generated any revenue from commercial products. The Company expects operating losses to continue and increase for the foreseeable future as the Company progresses its clinical development activities for its product candidates.</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its existing cash, cash equivalents and marketable securities of $578.9 million as of December 31, 2023 will be sufficient to fund its planned operating expense and capital expenditure requirements for a period of at least one year from the date of the issuance of these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Certain reclassifications of previously reported amounts have been made to conform to the current year presentation. Specifically, the final payment fee of $0.5 million related to borrowings under the Company’s 2021 Loan Agreement (see Note 6) was previously presented separately from “Term loan, non-current, net” under the caption “Other non-current liability” in the Form 10-K as of December 31, 2022. These captions have been combined in the consolidated balance sheet as of December 31, 2022 included within these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period. Significant estimates and assumptions made in the accompanying consolidated financial statements include but are not limited to accruals for uncertain tax positions, accrued research and development expenses and the valuation of stock options. The Company evaluates its estimates and assumptions on</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78" w:name="page79"/>
    <w:bookmarkEnd w:id="78"/>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 ongoing basis using historical experience and other factors and adjusts those estimates and assumptions when facts and circumstances dictate.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engages in foreign-currency-denominated transactions with certain vendors, as well as between subsidiaries with different functional currencies. The Company’s subsidiary in Israel uses the U.S. dollar as its functional currency for financial reporting. Gains and losses from foreign-currency-denominated transactions, primarily denominated in New Israeli Shekels, were not material for all periods presented and are reflected in the consolidated statements of operations and comprehensive loss as a component of interest income and other, net. The Company’s subsidiary in Lithuania uses the Euro as its functional currency for financial reporting. The re-measurement from Euros to U.S. dollars results in translation gain and loss adjustments, which are included in the consolidated balance sheets as part of accumulated other comprehensive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Assets and liabilities recorded at fair value are categorized based upon the level of judgment associated with the inputs used to measure their fair value. Hierarchical levels are directly related to the amount of subjectivity with the inputs to the valuation of these assets or liabilities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—Observable inputs such as unadjusted, quoted prices in active markets for identical assets or liabilities at the measurement date;</w:t>
      </w:r>
    </w:p>
    <w:p>
      <w:pPr>
        <w:spacing w:after="0" w:line="117" w:lineRule="exact"/>
        <w:rPr>
          <w:sz w:val="20"/>
          <w:szCs w:val="20"/>
          <w:color w:val="auto"/>
        </w:rPr>
      </w:pPr>
    </w:p>
    <w:p>
      <w:pPr>
        <w:ind w:left="520" w:right="2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—Inputs (other than quoted prices included in Level 1) are either directly or indirectly observable inputs for similar assets or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include quoted prices for identical or similar assets or liabilities in active markets and quoted prices for identical or similar assets or liabilities in markets that are not active; and</w:t>
      </w:r>
    </w:p>
    <w:p>
      <w:pPr>
        <w:spacing w:after="0" w:line="63" w:lineRule="exact"/>
        <w:rPr>
          <w:sz w:val="20"/>
          <w:szCs w:val="20"/>
          <w:color w:val="auto"/>
        </w:rPr>
      </w:pPr>
    </w:p>
    <w:p>
      <w:pPr>
        <w:ind w:right="240" w:firstLine="509"/>
        <w:spacing w:after="0" w:line="37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Assets Measured at Fair Value on a Recurring Basis</w:t>
      </w: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marketable securities were the only financial instruments measured and recorded at fair value on a recurring basis on the Company’s consolidated balance sheets.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including cash, other current assets, accounts payable and accrued expenses are carried at cost which approximates their fair value because of the short-term nature of these financial instruments. The fair value of the Company’s term loan approximates its carrying value, or amortized cost, due to the prevailing market rates of interest it bears.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Financial instruments that potentially subject the Company to a concentration of credit risk consist primarily of cash, cash equivalents and marketable securities. Bank deposits are held by accredited financial institutions and these deposits may at times be in excess of insured limits. The Company limits its credit risk associated with cash and cash equivalents by placing them with financial institutions that it believes are of high quality. The Company has not experienced any losses on its deposits of cash or cash equivalents. The Company </w:t>
      </w:r>
      <w:r>
        <w:rPr>
          <w:rFonts w:ascii="Times New Roman" w:cs="Times New Roman" w:eastAsia="Times New Roman" w:hAnsi="Times New Roman"/>
          <w:sz w:val="18"/>
          <w:szCs w:val="18"/>
          <w:color w:val="000000"/>
        </w:rPr>
        <w:t>has established guidelines relative to diversification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maturities to maintain safety and liquidity and limits amounts invested in marketable securities by credit rating, maturity, industry group, investment type and issuer, except for securities issued by the U.S. government. The Company does not believe a significant risk of loss from a concentration of credit risk exists with respect to its marketable securities portfolio.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other risks and uncertainties. Factors that could affect the Company’s future operating results and cause actual results to vary materially from expectations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but are not limited to, the Company’s early stages of clinical drug development; the Company’s ability to advance product candidates into, and successfully complete, clinical trials on the timelines it projects; the Company’s ability to adequately demonstrate sufficient safety and efficacy of its product candidates; the Company’s ability to enroll patients in its ongoing and future clinical trials; the Company’s ability to successfully manufacture and supply its product candidates for clinical trials; the Company’s ability to obtain additional capital to finance its operations; uncertainties related to the projections of the size of patient populations suffering from the diseases the Company is targeting; the Company’s ability to obtain, maintain, and protect its intellectual property rights; developments relating to the Company’s competitors and its industry, including competing product candidates and therapies; general economic and market conditions; and other risks and uncertainties.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product candidates will require approvals from the U.S. Food and Drug Administration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Segment Reporting</w:t>
      </w:r>
    </w:p>
    <w:p>
      <w:pPr>
        <w:spacing w:after="0" w:line="121"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The Company’s CODM is its Chief Executive Officer. The Company and the CODM view the Company’s operations and manage its business in one operating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highly-liquid investments purchased with original maturities of three months or less from the purchase date to be cash equivalents. Cash equivalents primarily consist of amounts invested in money market funds, commercial paper and U.S. government treasury securities and are carried at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The Company invests its excess cash in marketable securities with high credit ratings including money market funds, commercial paper, securities issued by the U.S. government and its agencies and corporate debt securities. The Company accounts for all marketable securities as available-for-sale, as the sale of such securities may be required prior to maturity. These marketable securities are carried at fair value, with unrealized gains and losses reported as accumulated other comprehensive income (loss) until realized. The cost of debt securities is adjusted for accretion of premiums and amortization of discounts to maturity. Such amortization and accretion, as well as interest and dividends, are included in interest income and other, net. Realized gains and losses from the sale of available-for-sale securities, if any, are determined on a specific identification basis and are also included in interest income and other, net. The Company’s marketable securities are classified as current assets, which reflects management’s intention to use the proceeds from sales of these securities to fund its operations, as necessary, even though the stated maturity date may be one year or more beyond the current balance sheet date.</w:t>
      </w:r>
    </w:p>
    <w:p>
      <w:pPr>
        <w:spacing w:after="0" w:line="64"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The Company periodically assesses its available-for-sale marketable securities for impairment. For marketable securities in an unrealized loss position, this assessment first takes into account the Company’s intent to sell, or whether it is more likely than not that it will be required to sell the security before recovery of its amortized cost basis. If either of these criteria are met, the marketable security’s amortized cost basis is written down to fair value through interest income and other, net. For marketable securities in an unrealized loss position that do not meet the aforementioned criteria, the Company assesses whether the decline in fair value has resulted from credit losses or other factors. In 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in interest income and other, net, limited by the amount that the fair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value is less than the amortized cost basis. Any additional impairment not recorded through an allowance for credit losses is recognized in other comprehensive loss. Changes in the allowance for credit losses are recorded as provision for (or reversal of) credit loss expense. Losses are charged against the allowance when management believes the uncollectability of an available-for-sale security is confirmed or when either of the criteria regarding intent or requirement to sell is met. These changes are recorded in interest income and other, net.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noncancellable operating leases for office space. Beginning in 2022, the Company accounts for leases in accordance with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The Company determines if an arrangement is a lease or contains an embedded lease at inception. The Company accounts for a contract as a lease when it has the right to control the asset for a period of time while obtaining substantially all of the asset’s economic benefits. For arrangements that meet the definition of a lease, the Company determines the initial classification and measurement of its right-of-use (“ROU”) asset and lease liability at the lease commencement date and thereafter if modified. Operating lease ROU assets represent the Company’s right to use an underlying asset for the lease term and lease liabilities represent the Company’s obligation to make the contractual lease payments over the lease term. The ROU asset is initially measured at cost, which comprises the initial amount of the lease liability adjusted for lease payments made at or before the lease commencement date, plus any initial direct costs incurred less any lease incentives received. The operating lease liability is initially measured at the present value of the unpaid lease payments at the lease commencement date. The lease liability is subsequently measured at amortized cost using the effective-interest method. The lease term includes any renewal options that the Company is reasonably assured to exercise. The present value of lease payments is determined by using the interest rate implicit in the lease, if that rate is readily determinable; otherwise, the Company uses its estimated collateralized incremental borrowing rate that the Company would pay for a similar amount and term. The Company has elected not to record leases with an original term of twelve months or less on its consolidated balance sheets. The Company does not have any material short-term leases.</w:t>
      </w:r>
    </w:p>
    <w:p>
      <w:pPr>
        <w:spacing w:after="0" w:line="19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Company’s leases may require the Company to pay additional costs, such as utilities, maintenance, and other operating costs, which are generally referred to as non-lease components and vary based on future outcomes. The Company has elected to not separate lease and non-lease components. Only the fixed costs for lease components and their associated non-lease components are accounted for as a single lease component and recognized as part of a ROU asset and lease liability. Any variable expenses are recognized in operating expenses as incurred. Lease expense for an operating lease liability is recognized on a straight-line basis over the lease term and is included in operating expenses in the consolidated statements of operations and comprehensive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on a straight-line basis over the estimated useful lives of the related assets, generally ranging from three to seven years. Leasehold improvements are amortized on a straight-line basis over the shorter of the assets’ estimated useful life or the remaining term of the lease. Upon retirement or sale of the assets, the cost and related accumulated depreciation and amortization are removed from the consolidated balance sheets and the resulting gains or losses are recorded in the consolidated statements of operations and comprehensive loss. Maintenance and repair costs are expensed as incurred.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Company periodically evaluates its long-lived assets, including property and equipment, for impairment whenever events or changes in business circumstances indicate that the carrying amount of the assets or group of assets may not be fully recoverable. If indicators of impairment exist and the undiscounted future cash flows that the assets are expected to generate are less than the carrying value of the assets, then the Company will reduce the carrying amount of the assets through an impairment charge, to their estimated fair values based on a discounted cash flow approach or, when available and appropriate, to comparable market values. There were no such indicators for the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Accrued Research and Development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 Company records preclinical and clinical study and research expenses based on the services performed, pursuant to contracts with research institutions that conduct and manage preclinical and clinical studies and research services on its behalf. The majority of these expenses are recorded based on invoices and statements received from these vendors. The Company also records these expenses based upon the estimated services provided but not yet invoiced. Liabilities associated with these expenses are included in accrued expenses in the consolidated balance sheets. These costs are a component of the Company’s research and development expenses.</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In making these estimates of services provided but not yet invoiced or for which statements have not been received from vendors, the Company considers factors such as estimates of the progress of work completed in accordance with agreements established with its third-party service providers. As actual costs become known, the Company adjusts its accrued expenses.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accrued expenses could materially affect the Company’s results of operations. Contingent milestone payments, if any, are recognized when payment becomes probable and reasonably estimable, which is generally upon achievement of the milestone.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Warrants to Purchase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Company classifies warrants indexed to its common stock and meeting the requirements for equity classification within stockholders’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This assessment is conducted at the time of warrant issuance and as of each reporting period that the warrants remain outstanding.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Research and development expenses consist primarily of costs incurred for the development of the Company’s lead product candidate, pegozafermin. Research and development expenses consist primarily of external costs related to preclinical and clinical development and related supplies and personnel costs. Personnel costs consist of salaries, employee benefits and stock-based compensation for individuals involved in research and development efforts. Payments associated with agreements to acquire licenses to develop, use, manufacture and commercialize products and purchases of pegozafermin from contract manufacturing organizations that have not reached technological feasibility and do not have alternate future commercial use are expensed as incurred.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The Company utilizes stock options, restricted stock units (“RSUs”) and performance stock units (“PSUs”) for equity compensation. The Company measures its equity awards made to employees, directors, and non-employee service providers based on estimated fair values and recognizes stock-based compensation over the requisite service period. The Company accounts for forfeitures as they occur.</w:t>
      </w:r>
    </w:p>
    <w:p>
      <w:pPr>
        <w:spacing w:after="0" w:line="176"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231F20"/>
        </w:rPr>
        <w:t>The Company estimates the fair value of stock option awards on the date of grant using a Black-Scholes option pricing model. The Company recognizes compensation for stock option awards, including awards with graded-vesting, on a straight-line basis over the requisite service period.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231F20"/>
        </w:rPr>
        <w:t>The Black-Scholes option pricing model requires a number of assumptions, of which the most significant are expected volatility, expected option term (the time from the grant date until the options are exercised or expire), risk-free rate, and expected dividend rate. These assumptions include:</w:t>
      </w:r>
    </w:p>
    <w:p>
      <w:pPr>
        <w:spacing w:after="0" w:line="32" w:lineRule="exact"/>
        <w:rPr>
          <w:sz w:val="20"/>
          <w:szCs w:val="20"/>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volatility—The Company has a limited trading history for its common stock. As a result, the Company estimates expected volatility based on a combination of its own historical stock price volatility and that of a publicly traded set of peer companies such that the time period over which historical volatility data used is at least equal to the expected term of the option award. The peer companies were chosen based on their similar size, stage in the life cycle, or area of specialty.</w:t>
      </w:r>
    </w:p>
    <w:p>
      <w:pPr>
        <w:spacing w:after="0" w:line="71" w:lineRule="exact"/>
        <w:rPr>
          <w:rFonts w:ascii="Times New Roman" w:cs="Times New Roman" w:eastAsia="Times New Roman" w:hAnsi="Times New Roman"/>
          <w:sz w:val="18"/>
          <w:szCs w:val="18"/>
          <w:color w:val="auto"/>
        </w:rPr>
      </w:pPr>
    </w:p>
    <w:p>
      <w:pPr>
        <w:ind w:left="1020" w:right="24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of options granted to employees and directors is determined using the “simplified” method. Under this approach, the expected term is presumed to be the midpoint between the weighted-average vesting term and the contractual term of the option. The simplified method makes the assumption that the employee will exercise stock options evenly over the period when the stock options are vested and ending on the date when the stock options would expire. The expected option term for options granted to non-employees is estimated on a grant-by-grant basis.</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bonds in effect on the grant date for periods with an equivalent expected term as the option.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dividend—The Company has never paid dividends and has no foreseeable plans to pay dividends on its shares of common stock. Therefore, an expected dividend of zero is used.</w:t>
      </w:r>
    </w:p>
    <w:p>
      <w:pPr>
        <w:spacing w:after="0" w:line="10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The grant date fair value of RSUs and PSUs are based on the closing price of the Company’s common stock on the date of grant. RSUs are service-based awards and are recognized over the requisite service period on a straight-line basis. Compensation expense for PSUs is recognized over the estimated service period for each tranche of an award (the accelerated attribution method) when its performance condition is deemed probable of achievement. For PSUs containing performance conditions which were not deemed probable of achievement, no stock compensation expense is recognized. Additionally, at each reporting period, the Company evaluates the probable outcome of the performance conditions and as applicable, recognizes the cumulative effect of the change in estimate in the period of the 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Income taxes are accounted for under the asset and liability method. Under this method, deferred tax assets and liabilities are recognized for the future tax consequences attributable to differences between the consolidated financial statements carrying amounts of existing assets and liabilities and their respective tax bases and operating loss and tax credit carryforwards. Deferred tax assets and liabilities are measured using enacted tax rates applied to taxable income in the years in which those temporary differences are expected to be realized. The effect on deferred tax assets and liabilities of a change in tax rates is recognized as income or loss in the period that includes the enactment date.</w:t>
      </w:r>
    </w:p>
    <w:p>
      <w:pPr>
        <w:spacing w:after="0" w:line="12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231F20"/>
        </w:rPr>
        <w:t>A valuation allowance is established when necessary to reduce deferred tax assets to the amount expected to be realized. The Company has established full valuation allowances on its U.S. deferred tax assets because realization of these tax benefits through future taxable income is not more likely than not as of December 31, 2023 and 2022. The Company intends to maintain the valuation allowances until sufficient positive evidence exists to support the reversal of the valuation allowances.</w:t>
      </w:r>
    </w:p>
    <w:p>
      <w:pPr>
        <w:spacing w:after="0" w:line="1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calculation of the Company’s accruals for tax contingencies involves dealing with uncertainties in the application of complex tax laws. The Company’s estimates for the potential outcome of any uncertain tax issue are based on the detailed facts and circumstances of each issue. Resolution of these uncertainties in a manner inconsistent with the Company’s expectations could have a material impact on its results of operations and financial condition.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the Company to determine the probability of various possible outcomes.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reevaluates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tax expense in the period. Interest and penalties related to unrecognized tax benefits are included within income tax (expense) benefit.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Basic and Diluted Net Loss per Share</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is calculated based upon the weighted-average number of shares of common stock outstanding during the period</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Shares of common stock that are potentially issuable for little or no cash consideration at issuance, such as the Company’s pre-funded warrants issued in July 2022 and December 2023 are included in the calculation of basic and diluted net loss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even if they are antidilutive.</w:t>
      </w:r>
    </w:p>
    <w:p>
      <w:pPr>
        <w:spacing w:after="0" w:line="12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periods of income, participating securities are allocated a proportional share of income determined by dividing total weighted-average participating securities by the sum of the total weighted-average common shares and participating securities (the “two-class method”). Shares of the Company’s common stock warrants participate in any dividends that may be declared by the Company and are therefore considered to be participating securities. Participating securities have the effect of diluting both basic and diluted earnings per share during periods of income. During periods of loss, no loss is allocated to participating securities since they have no contractual obligation to share in the losses of the Company. Diluted loss per share is computed after giving consideration to the dilutive effect of stock options, RSUs, PSUs and common stock warrants, except where such non-participating securities would be anti-dilutive. </w:t>
      </w:r>
      <w:r>
        <w:rPr>
          <w:rFonts w:ascii="Times New Roman" w:cs="Times New Roman" w:eastAsia="Times New Roman" w:hAnsi="Times New Roman"/>
          <w:sz w:val="18"/>
          <w:szCs w:val="18"/>
          <w:color w:val="231F20"/>
        </w:rPr>
        <w:t>As the Company incurred net losses for the periods presented, basic net loss per share is the same as diluted net loss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share since the effects of potentially dilutive securities are antidilutive.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w:t>
      </w:r>
    </w:p>
    <w:p>
      <w:pPr>
        <w:spacing w:after="0" w:line="1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Company’s comprehensive loss is comprised of net loss and changes in unrealized gains or losses on marketable securities and foreign currency translation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Recently Adopted Accounting Standards</w:t>
      </w:r>
    </w:p>
    <w:p>
      <w:pPr>
        <w:spacing w:after="0" w:line="17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815-40)—Accounting for Convertible Instruments and Contracts in an Entity’s Own Equity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which simplifies the accounting for convertible instruments, amends the guidance on derivative scope exceptions for contracts in an entity’s own equity, and modifies the guidance on diluted earnings per share calculations as a result of these changes. The Company early adopted ASU 2020-06 as of January 1, 2023, using a modified retrospective approach and the adoption did not have a material impact on the Company’s consolidated financial statements and related disclosures.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is intended to improve reportable segment disclosure requirements, primarily through enhanced disclosures about significant expenses. ASU 2023-07 requires disclosures to include significant segment expenses that are regularly provided to the CODM, a description of other segment items by reportable segment, and any additional measures of a segment's profit or loss used by the CODM when deciding how to allocate resources. The ASU also requires all annual disclosures required by Topic 280 to be included in interim periods. The ASU is effective for the Company’s annual periods beginning on January 1, 2024 and interim periods beginning on January 1, 2025. Early adoption is permitted and requires retrospective application to all prior periods presented in the financial statements. The Company is currently evaluating the effect of adopting this new accounting guidance on its financial statement disclosures.</w:t>
      </w:r>
    </w:p>
    <w:p>
      <w:pPr>
        <w:spacing w:after="0" w:line="131"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companies to disclose, on an annual basis, specific categories in the effective tax rate reconciliation and provide additional information for reconciling items that meet a quantitative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threshold. In addition, ASU 2023-09 requires companies to disclose additional information about income taxes paid. The ASU is effective for the Company’s annual periods beginning on January 1, 2025 and will be applied on a prospective basis with the option to apply the standard retrospectively. The Company is currently evaluating the effect of adopting this new accounting guidance on its financial statement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measured at fair value on a recurring basis by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137,976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138,084</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71,789</w:t>
            </w:r>
          </w:p>
        </w:tc>
        <w:tc>
          <w:tcPr>
            <w:tcW w:w="100" w:type="dxa"/>
            <w:vAlign w:val="bottom"/>
          </w:tcPr>
          <w:p>
            <w:pPr>
              <w:spacing w:after="0"/>
              <w:rPr>
                <w:sz w:val="20"/>
                <w:szCs w:val="20"/>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discount securities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361,117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361,302</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98,593</w:t>
            </w:r>
          </w:p>
        </w:tc>
        <w:tc>
          <w:tcPr>
            <w:tcW w:w="100" w:type="dxa"/>
            <w:vAlign w:val="bottom"/>
          </w:tcPr>
          <w:p>
            <w:pPr>
              <w:spacing w:after="0"/>
              <w:rPr>
                <w:sz w:val="20"/>
                <w:szCs w:val="20"/>
                <w:color w:val="auto"/>
              </w:rPr>
            </w:pPr>
          </w:p>
        </w:tc>
      </w:tr>
      <w:tr>
        <w:trPr>
          <w:trHeight w:val="243"/>
        </w:trPr>
        <w:tc>
          <w:tcPr>
            <w:tcW w:w="5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361,302</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-839470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-839470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-839470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measured at fair value on a recurring basis by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shd w:val="clear" w:color="auto" w:fill="CFF0FC"/>
          </w:tcPr>
          <w:p>
            <w:pPr>
              <w:spacing w:after="0"/>
              <w:rPr>
                <w:sz w:val="20"/>
                <w:szCs w:val="20"/>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discount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181,807</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181,445</w:t>
            </w:r>
          </w:p>
        </w:tc>
        <w:tc>
          <w:tcPr>
            <w:tcW w:w="100" w:type="dxa"/>
            <w:vAlign w:val="bottom"/>
            <w:shd w:val="clear" w:color="auto" w:fill="CFF0FC"/>
          </w:tcPr>
          <w:p>
            <w:pPr>
              <w:spacing w:after="0"/>
              <w:rPr>
                <w:sz w:val="24"/>
                <w:szCs w:val="24"/>
                <w:color w:val="auto"/>
              </w:rPr>
            </w:pPr>
          </w:p>
        </w:tc>
      </w:tr>
      <w:tr>
        <w:trPr>
          <w:trHeight w:val="224"/>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1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132,905</w:t>
            </w:r>
          </w:p>
        </w:tc>
        <w:tc>
          <w:tcPr>
            <w:tcW w:w="100" w:type="dxa"/>
            <w:vAlign w:val="bottom"/>
          </w:tcPr>
          <w:p>
            <w:pPr>
              <w:spacing w:after="0"/>
              <w:rPr>
                <w:sz w:val="20"/>
                <w:szCs w:val="20"/>
                <w:color w:val="auto"/>
              </w:rPr>
            </w:pPr>
          </w:p>
        </w:tc>
      </w:tr>
      <w:tr>
        <w:trPr>
          <w:trHeight w:val="27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-676275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-659765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-676275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-659765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-676275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-659765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valuation techniques used to measure the fair values of the Company’s Level 2 financial instruments, which generally have counterparties with high credit ratings, are based on quoted market prices when available. If quoted market prices are not available, the fair value for the security is estimated under the market or income approach using pricing models with market observable inputs.</w:t>
      </w:r>
    </w:p>
    <w:p>
      <w:pPr>
        <w:spacing w:after="0" w:line="12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by contractual maturity as of December 31,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53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290,756</w:t>
            </w:r>
          </w:p>
        </w:tc>
        <w:tc>
          <w:tcPr>
            <w:tcW w:w="100" w:type="dxa"/>
            <w:vAlign w:val="bottom"/>
            <w:shd w:val="clear" w:color="auto" w:fill="CFF0FC"/>
          </w:tcPr>
          <w:p>
            <w:pPr>
              <w:spacing w:after="0"/>
              <w:rPr>
                <w:sz w:val="21"/>
                <w:szCs w:val="2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two years</w:t>
            </w:r>
          </w:p>
        </w:tc>
        <w:tc>
          <w:tcPr>
            <w:tcW w:w="46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70,546</w:t>
            </w:r>
          </w:p>
        </w:tc>
        <w:tc>
          <w:tcPr>
            <w:tcW w:w="100" w:type="dxa"/>
            <w:vAlign w:val="bottom"/>
          </w:tcPr>
          <w:p>
            <w:pPr>
              <w:spacing w:after="0"/>
              <w:rPr>
                <w:sz w:val="20"/>
                <w:szCs w:val="20"/>
                <w:color w:val="auto"/>
              </w:rPr>
            </w:pPr>
          </w:p>
        </w:tc>
      </w:tr>
      <w:tr>
        <w:trPr>
          <w:trHeight w:val="276"/>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53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361,302</w:t>
            </w:r>
          </w:p>
        </w:tc>
        <w:tc>
          <w:tcPr>
            <w:tcW w:w="100" w:type="dxa"/>
            <w:vAlign w:val="bottom"/>
            <w:shd w:val="clear" w:color="auto" w:fill="CFF0FC"/>
          </w:tcPr>
          <w:p>
            <w:pPr>
              <w:spacing w:after="0"/>
              <w:rPr>
                <w:sz w:val="24"/>
                <w:szCs w:val="24"/>
                <w:color w:val="auto"/>
              </w:rPr>
            </w:pPr>
          </w:p>
        </w:tc>
      </w:tr>
      <w:tr>
        <w:trPr>
          <w:trHeight w:val="849"/>
        </w:trPr>
        <w:tc>
          <w:tcPr>
            <w:tcW w:w="4600" w:type="dxa"/>
            <w:vAlign w:val="bottom"/>
            <w:tcBorders>
              <w:top w:val="single" w:sz="8" w:color="CFF0FC"/>
            </w:tcBorders>
          </w:tcPr>
          <w:p>
            <w:pPr>
              <w:spacing w:after="0"/>
              <w:rPr>
                <w:sz w:val="24"/>
                <w:szCs w:val="24"/>
                <w:color w:val="auto"/>
              </w:rPr>
            </w:pPr>
          </w:p>
        </w:tc>
        <w:tc>
          <w:tcPr>
            <w:tcW w:w="4660" w:type="dxa"/>
            <w:vAlign w:val="bottom"/>
            <w:tcBorders>
              <w:top w:val="single" w:sz="8" w:color="CFF0FC"/>
            </w:tcBorders>
          </w:tcPr>
          <w:p>
            <w:pPr>
              <w:jc w:val="right"/>
              <w:ind w:right="3450"/>
              <w:spacing w:after="0"/>
              <w:rPr>
                <w:sz w:val="20"/>
                <w:szCs w:val="20"/>
                <w:color w:val="auto"/>
              </w:rPr>
            </w:pPr>
            <w:r>
              <w:rPr>
                <w:rFonts w:ascii="Times New Roman" w:cs="Times New Roman" w:eastAsia="Times New Roman" w:hAnsi="Times New Roman"/>
                <w:sz w:val="18"/>
                <w:szCs w:val="18"/>
                <w:color w:val="auto"/>
              </w:rPr>
              <w:t>85</w:t>
            </w:r>
          </w:p>
        </w:tc>
        <w:tc>
          <w:tcPr>
            <w:tcW w:w="6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555" w:gutter="0" w:footer="0" w:header="0"/>
        </w:sectPr>
      </w:pPr>
    </w:p>
    <w:bookmarkStart w:id="85" w:name="page86"/>
    <w:bookmarkEnd w:id="85"/>
    <w:p>
      <w:pPr>
        <w:spacing w:after="0" w:line="35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2023 and 2022, the Company did not recognize an allowance for credit-related losses or an other-than-temporary impairment charge for any of its investments,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 as of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8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taxes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other</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8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as of the periods presented (in thousands):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7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8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and related expenses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and legal fees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-1662430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operating lease obligations consist of leases for office space in two buildings in San Francisco.</w:t>
      </w:r>
    </w:p>
    <w:p>
      <w:pPr>
        <w:spacing w:after="0" w:line="17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Company entered into a lease (“2023 Lease”) with respect to approximately 17,616 square feet of office space in San Francisco, California for a lease term commencing in the fourth quarter of 2023 and ending in March 2027. The 2023 Lease does not provide for any extension or renewal options. The 2023 Lease includes an abatement period in which the Company is not required to remit monthly rent payments until April 2024 and has escalating rent payments during the lease term. In addition, the fixed lease payments also cover the Company’s proportionate share of certain operating expenses. The Company recognizes lease expense on a straight-line basis over the term of the 2023 Lease, including any rent-free periods. All fixed lease payments have been included in the measurement of right-of-use assets and lease liabilities in accordance with the Company’s accounting policy to not separate lease and nonlease components of contracts.</w:t>
      </w:r>
    </w:p>
    <w:p>
      <w:pPr>
        <w:spacing w:after="0" w:line="13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 also has a lease for approximately </w:t>
      </w:r>
      <w:r>
        <w:rPr>
          <w:rFonts w:ascii="Times New Roman" w:cs="Times New Roman" w:eastAsia="Times New Roman" w:hAnsi="Times New Roman"/>
          <w:sz w:val="18"/>
          <w:szCs w:val="18"/>
          <w:color w:val="231F20"/>
        </w:rPr>
        <w:t>3,600 square feet of office space in San Francisco that expires in January 2025 with an</w:t>
      </w:r>
      <w:r>
        <w:rPr>
          <w:rFonts w:ascii="Times New Roman" w:cs="Times New Roman" w:eastAsia="Times New Roman" w:hAnsi="Times New Roman"/>
          <w:sz w:val="18"/>
          <w:szCs w:val="18"/>
          <w:color w:val="auto"/>
        </w:rPr>
        <w:t xml:space="preserve"> option to renew for an additional year.</w:t>
      </w:r>
    </w:p>
    <w:p>
      <w:pPr>
        <w:spacing w:after="0" w:line="10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lease expense was $0.3 million and $0.2 million, respectively. Rent expense was not material in 2021. Variable lease payments and short-term lease costs were not material for all periods presented. As of December 31, 2023, the weighted-average remaining lease term was 3.1 years and the Company’s weighted-average incremental borrowing rate used to determine operating lease liabilities was 12.9%.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undiscounted future minimum lease payments due under the Company’s non-cancellable operating leases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(555 )</w:t>
            </w:r>
          </w:p>
        </w:tc>
      </w:tr>
      <w:tr>
        <w:trPr>
          <w:trHeight w:val="281"/>
        </w:trPr>
        <w:tc>
          <w:tcPr>
            <w:tcW w:w="9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Transfer and License Agreement with Teva Pharmaceutical Industries Ltd</w:t>
      </w:r>
    </w:p>
    <w:p>
      <w:pPr>
        <w:spacing w:after="0" w:line="1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April 2018, the Company concurrently entered into two Asset Transfer and License Agreements (the “Teva Agreements”) with Teva Pharmaceutical Industries Ltd (“Teva”) under which it acquired certain patents and intellectual property relating to two programs: (1) Teva’s glycoPEGylated FGF21 program, including the compound TEV-47948 (pegozafermin), a glycoPEGylated long-acting FGF21 and (2) Teva’s development program of small molecule inhibitors of Fatty Acid Synthase. Pursuant to the Teva Agreements, the Company paid Teva an initial nonrefundable upfront payment of $6.0 million. In addition, with respect to each product candidate covered by the Teva Agreements, the Company is required to pay Teva $2.5 million upon the achievement of a specified clinical development milestone, and additional payments totaling up to $65.0 million upon achievement of certain commercial milestones. The Company is also obligated to pay Teva tiered royalties at percentages in the low-to-mid single-digits on worldwide net sales on all products containing the Teva compounds.</w:t>
      </w:r>
    </w:p>
    <w:p>
      <w:pPr>
        <w:spacing w:after="0" w:line="138" w:lineRule="exact"/>
        <w:rPr>
          <w:sz w:val="20"/>
          <w:szCs w:val="20"/>
          <w:color w:val="auto"/>
        </w:rPr>
      </w:pPr>
    </w:p>
    <w:p>
      <w:pPr>
        <w:ind w:right="260" w:firstLine="509"/>
        <w:spacing w:after="0" w:line="276" w:lineRule="auto"/>
        <w:rPr>
          <w:sz w:val="20"/>
          <w:szCs w:val="20"/>
          <w:color w:val="auto"/>
        </w:rPr>
      </w:pPr>
      <w:r>
        <w:rPr>
          <w:rFonts w:ascii="Times New Roman" w:cs="Times New Roman" w:eastAsia="Times New Roman" w:hAnsi="Times New Roman"/>
          <w:sz w:val="17"/>
          <w:szCs w:val="17"/>
          <w:color w:val="auto"/>
        </w:rPr>
        <w:t>The Teva Agreements can be terminated (i) by the Company without cause upon 120 days’ written notice to Teva, (ii) by either party, if the other party materially breaches any of its obligations under the Teva Agreements and fails to cure such breach within 60 days after receiving notice thereof, or</w:t>
      </w:r>
    </w:p>
    <w:p>
      <w:pPr>
        <w:spacing w:after="0" w:line="1" w:lineRule="exact"/>
        <w:rPr>
          <w:sz w:val="20"/>
          <w:szCs w:val="20"/>
          <w:color w:val="auto"/>
        </w:rPr>
      </w:pPr>
    </w:p>
    <w:p>
      <w:pPr>
        <w:ind w:right="200" w:firstLine="8"/>
        <w:spacing w:after="0" w:line="255"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a bankruptcy petition is filed against the other party and is not dismissed within 60 days. In addition, Teva can also terminate the agreement related to the Company’s glycoPEGylated FGF21 program in the event the Company, or any of its affiliates or sublicensees, challenges any of the Teva patents licensed to the Company, and the challenge is not withdrawn within 30 days of written notice from Teva.</w:t>
      </w:r>
    </w:p>
    <w:p>
      <w:pPr>
        <w:spacing w:after="0" w:line="132"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In the fourth quarter of 2023, the Company made a $2.5 million milestone payment to Teva following the achievement of a clinical development milestone under the FGF21 program in SHTG, and accordingly, the Company recorded research and development expense of $2.5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Term Loan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Loan Agreement</w:t>
      </w:r>
    </w:p>
    <w:p>
      <w:pPr>
        <w:spacing w:after="0" w:line="175"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entered into a Loan and Security Agreement, (the “Loan Agreement”) with the lenders referred to therein, and Silicon Valley Bank (“SVB”), as collateral agent. The Loan Agreement as amended in May 2021 (the “2021 Loan Agreement”) provided for (i) a secured term A loan facility (the “Term A Loan Facility”) of up to $20.0 million and (ii) a secured term B loan facility (the “Term B Loan Facility”) of up to $5.0 million. The Term A Loan Facility of $20.0 million was fully drawn as of December 2022 and the Term B Loan Facility expired undrawn.</w:t>
      </w:r>
    </w:p>
    <w:p>
      <w:pPr>
        <w:spacing w:after="0" w:line="12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January 2023, the Company executed a loan and security agreement with new lenders (the “2023 Loan Agreement”) and used the borrowings to repay in full the outstanding principal, final payment fee, prepayment fee and interest due under the 2021 Loan Agreement of $21.4 million. The Company recorded a loss on debt extinguishment of $1.2 million, which was recognized as a component of interest expense on the Company’s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Loan Agreement</w:t>
      </w:r>
    </w:p>
    <w:p>
      <w:pPr>
        <w:spacing w:after="0" w:line="1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executed the 2023 Loan Agreement with the lenders referred to therein, K2 HealthVentures LLC (“K2HV”) as administrative agent and Ankura Trust Company, LLC as collateral agent.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2023 Loan Agreement provides for up to $100.0 million in aggregate principal in term loans, consisting of an initial tranche of $25.0 million that was funded at closing, second and third tranches of $15.0 million and $10.0 million, respectively, that may be funded upon the achievement of certain time-based, clinical and regulatory milestones, and a fourth tranche of up to $50.0 million that may be funded upon discretionary approval by the lenders. As of December 31, 2023, the second tranche of $15.0 million expired undrawn.</w:t>
      </w:r>
    </w:p>
    <w:p>
      <w:pPr>
        <w:spacing w:after="0" w:line="12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Borrowings under term loans are secured by substantially all of the assets of the Company, excluding the Company’s intellectual property. The 2023 Loan Agreement contains customary representations and warranties, restricts certain activities and includes customary events of default, including payment default, breach of covenants, change of control, and material adverse effects. In addition, starting January 1, 2024, the Company is required to maintain minimum unrestricted cash and cash equivalents equal to 5.0 times the average change in cash and cash equivalents measured over the trailing three-month period.</w:t>
      </w:r>
    </w:p>
    <w:p>
      <w:pPr>
        <w:spacing w:after="0" w:line="1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mature on January 1, 2027 and provide for interest-only payments until February 1, 2025. Consecutive equal payments of principal and interest are due once the interest-only period has elapsed. The term loans bear interest equal to the greater of (i) 8.45% and (ii) the sum of (a) the Prime Rate as reported in The Wall Street Journal plus (b) 2.25%. The interest rate on the first term loan was 9.75% at inception and 10.75% as of December 31, 2023. In addition, a final payment fee equal to 5.95% of the principal amount of the term loans is due upon the earlier of prepayment or maturity of the term loans. The Company has the option to prepay the entire outstanding balance of the term loans subject to a prepayment fee ranging from 1.0% to 3.0% depending on the timing and circumstances of such prepayment. A commitment fee equal to 0.6% of the principal amount of the fourth term loan is also payable if drawn.</w:t>
      </w:r>
    </w:p>
    <w:p>
      <w:pPr>
        <w:spacing w:after="0" w:line="18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K2HV has an option to convert up to an aggregate of $7.5 million of the principal amount of the term loans then outstanding into shares of the Company’s common stock at a conversion price of $12.6943 per share at any time prior to full repayment of the term loans. This embedded conversion option qualifies for a scope exception from derivative accounting because it is both indexed to the Company’s own stock and meets the conditions for equity classification.</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Total debt issuance costs related to the first term loan of $0.8 million, which includes the fair value of the warrant that became exercisable as a result of the funding of the first term loan (discussed below), were recorded as debt discount. The debt discount, together with the final payment fee, are recognized as interest expense using the effective interest method. For the year ended December 31, 2023, the weighted-average effective interest rate on outstanding borrowings under the 2023 Loan Agreement was approximately 13.3%.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Company’s maturities of principal obligations under the term loan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0"/>
                <w:szCs w:val="20"/>
                <w:color w:val="auto"/>
              </w:rPr>
            </w:pPr>
          </w:p>
        </w:tc>
      </w:tr>
      <w:tr>
        <w:trPr>
          <w:trHeight w:val="241"/>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7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accumulated accretion of final payment fee</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7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(593 )</w:t>
            </w:r>
          </w:p>
        </w:tc>
      </w:tr>
      <w:tr>
        <w:trPr>
          <w:trHeight w:val="236"/>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net carry value</w:t>
            </w: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100" w:type="dxa"/>
            <w:vAlign w:val="bottom"/>
            <w:tcBorders>
              <w:top w:val="single" w:sz="8" w:color="CFF0FC"/>
            </w:tcBorders>
          </w:tcPr>
          <w:p>
            <w:pPr>
              <w:spacing w:after="0"/>
              <w:rPr>
                <w:sz w:val="20"/>
                <w:szCs w:val="20"/>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7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Term loan, non-current, net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100" w:type="dxa"/>
            <w:vAlign w:val="bottom"/>
            <w:tcBorders>
              <w:top w:val="single" w:sz="8" w:color="CFF0FC"/>
            </w:tcBorders>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January 2023, in connection with the 2023 Loan Agreement, the Company issued the lenders a warrant to purchase up to an aggregate of 204,815 shares of the Company’s common stock at an exercise price of $9.7649 per share (the “warrant shares”) that expires in January 2033. The warrant shares become exercisable upon the funding of each term loan. In connection with the first term loan that was funded at closing, 51,204 of the warrant shares became exercisable. The warrant shares cannot be settled for cash and include a cashless exercise feature allowing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holder to receive shares net of shares withheld in lieu of the exercise price. The warrant shares also provide for automatic cashless exercise under certain specific conditions and settlement is permitted in unregistered shares. The 51,204 warrant shares meet the requirements for equity classification.</w:t>
      </w:r>
    </w:p>
    <w:p>
      <w:pPr>
        <w:spacing w:after="0" w:line="14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51,204 warrant shares issued using the Black-Scholes option-pricing model with the following assumptions: risk-free interest rate of 3.9%, no dividends, expected volatility of 93.8% and expected term of 10.0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Of the remaining 153,611 warrant shares (the “contingent warrants”), 122,889 warrant shares are contingently exercisable upon the funding of each subsequent term loan drawn and have the same exercise price and contractual term and 30,722 warrant shares associated with the second term loan facility expired on September 30, 2023. The contingent warrants did not meet the derivative scope exception or equity classification criteria and were accounted for as a derivative liability. The contingent warrants’ initial fair value and fair value as of December 31, 2023, determined using a probability weighted Black-Scholes option pricing model, was insignificant. The contingent warrants derivative liability is remeasured at each reporting period until settled or extinguished with subsequent changes in fair value recorded as interest expense in the consolidated statements of operations and comprehensive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Authorized Capital Stock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June 5, 2023, the Company’s stockholders approved and, on June 8, 2023, the Company filed a Certificate of Amendment to the Second Amended and Restated Certificate of Incorporation to increase the total number of authorized shares of common stock from 100.0 million to 200.0 million. The total number of shares of preferred stock authorized for issuance by the Company remained unchanged at 10.0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common stock reserved for future issuance, on an as-if-converted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4,686,577</w:t>
            </w:r>
          </w:p>
        </w:tc>
        <w:tc>
          <w:tcPr>
            <w:tcW w:w="100" w:type="dxa"/>
            <w:vAlign w:val="bottom"/>
            <w:shd w:val="clear" w:color="auto" w:fill="CFF0FC"/>
          </w:tcPr>
          <w:p>
            <w:pPr>
              <w:spacing w:after="0"/>
              <w:rPr>
                <w:sz w:val="21"/>
                <w:szCs w:val="21"/>
                <w:color w:val="auto"/>
              </w:rPr>
            </w:pPr>
          </w:p>
        </w:tc>
      </w:tr>
      <w:tr>
        <w:trPr>
          <w:trHeight w:val="23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987,550</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grants under equity incentive plans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1,790,684</w:t>
            </w:r>
          </w:p>
        </w:tc>
        <w:tc>
          <w:tcPr>
            <w:tcW w:w="100" w:type="dxa"/>
            <w:vAlign w:val="bottom"/>
            <w:shd w:val="clear" w:color="auto" w:fill="CFF0FC"/>
          </w:tcPr>
          <w:p>
            <w:pPr>
              <w:spacing w:after="0"/>
              <w:rPr>
                <w:sz w:val="21"/>
                <w:szCs w:val="21"/>
                <w:color w:val="auto"/>
              </w:rPr>
            </w:pPr>
          </w:p>
        </w:tc>
      </w:tr>
      <w:tr>
        <w:trPr>
          <w:trHeight w:val="23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the employee stock purchase plan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1,207,607</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 outstanding</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10,412,806</w:t>
            </w:r>
          </w:p>
        </w:tc>
        <w:tc>
          <w:tcPr>
            <w:tcW w:w="100" w:type="dxa"/>
            <w:vAlign w:val="bottom"/>
            <w:shd w:val="clear" w:color="auto" w:fill="CFF0FC"/>
          </w:tcPr>
          <w:p>
            <w:pPr>
              <w:spacing w:after="0"/>
              <w:rPr>
                <w:sz w:val="21"/>
                <w:szCs w:val="21"/>
                <w:color w:val="auto"/>
              </w:rPr>
            </w:pPr>
          </w:p>
        </w:tc>
      </w:tr>
      <w:tr>
        <w:trPr>
          <w:trHeight w:val="23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 to purchase common stock outstanding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1,881,081</w:t>
            </w:r>
          </w:p>
        </w:tc>
        <w:tc>
          <w:tcPr>
            <w:tcW w:w="100" w:type="dxa"/>
            <w:vAlign w:val="bottom"/>
          </w:tcPr>
          <w:p>
            <w:pPr>
              <w:spacing w:after="0"/>
              <w:rPr>
                <w:sz w:val="20"/>
                <w:szCs w:val="20"/>
                <w:color w:val="auto"/>
              </w:rPr>
            </w:pPr>
          </w:p>
        </w:tc>
      </w:tr>
      <w:tr>
        <w:trPr>
          <w:trHeight w:val="243"/>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feature related to outstanding term loan</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21,557,121</w:t>
            </w:r>
          </w:p>
        </w:tc>
        <w:tc>
          <w:tcPr>
            <w:tcW w:w="100" w:type="dxa"/>
            <w:vAlign w:val="bottom"/>
          </w:tcPr>
          <w:p>
            <w:pPr>
              <w:spacing w:after="0"/>
              <w:rPr>
                <w:sz w:val="20"/>
                <w:szCs w:val="20"/>
                <w:color w:val="auto"/>
              </w:rPr>
            </w:pPr>
          </w:p>
        </w:tc>
      </w:tr>
      <w:tr>
        <w:trPr>
          <w:trHeight w:val="20"/>
        </w:trPr>
        <w:tc>
          <w:tcPr>
            <w:tcW w:w="9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In March 2021, the Company entered into an at-the-market sales agreement (as amended, the “Sales Agreement”) with Leerink Partners LLC and Cantor Fitzgerald &amp; Co. (the “Sales Agents”) pursuant to which the Company may offer and sell shares up to $75.0 million of its common stock (the “2021 ATM Facility”) from time to time pursuant to an effective registration statement. The Sales Agents are entitled to compensation at a commission of up to</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3.0% of the aggregate gross sales price per share sold under the Sales Agreement. In 2021 and 2022, the Company sold 186,546 and 3,948,611 shares of its common stock under the 2021 ATM Facility and received net proceeds of $3.3 million and $28.5 million, respectively. In February 2023, the Company sold 968,000 shares of its common stock under the 2021 ATM Facility and received net proceeds of $13.4 million.</w:t>
      </w:r>
    </w:p>
    <w:p>
      <w:pPr>
        <w:spacing w:after="0" w:line="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February 2023, the Company entered into an amendment to the Sales Agreement, pursuant to which the Company may offer and sell up to $150.0 million of its common stock (the “2023 ATM Facility”) pursuant to an effective registration statement. In June 2023, the Company sold 1,200,539 shares of its common stock under the 2023 ATM Facility and received net proceeds of $23.7 million. As of December 31, 2023, there was $125.9 million remaining for future sales under the 2023 ATM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July 2022, the Company completed an underwritten public offering of its common stock, warrants to purchase shares of its common stock and pre-funded warrants to purchase shares of its common stock. The Company sold 18,675,466 shares of its common stock with accompanying warrants to purchase up to 9,337,733 shares of its common stock at a combined public offering price of $3.55 per share. The Company also sold 7,944,252 pre-funded warrants to purchase shares of its common stock with accompanying warrants to purchase up to 3,972,126 shares of its common stock at a combined public offering price of $3.549 per pre-funded warrant, which represents the per share public offering price for the common stock less $0.001 per share, the exercise price for each pre-funded warrant. The Company raised net proceeds of $88.2 million, after deducting underwriting discounts and commissions of $5.7 million and other offering costs of $0.6 million.</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exercise of the outstanding warrants is subject to a beneficial ownership limitation of 9.99%, or at the election of the holder prior to the issuance of the warrant, 4.99%. The exercise of the outstanding pre-funded warrants is subject to a beneficial ownership limitation of 9.99%, or at the election of the holder prior to the issuance of the pre-funded warrant, 4.99%, which a holder may increase or decrease from time to time but shall not exceed 19.99%. The exercise price and number of shares of common stock issuable upon the exercise of the warrants and pre-funded warrants are subject to adjustment in the event of any stock dividends, stock splits, reverse stock split, recapitalization, or reorganization or similar transaction, as described in the agreements. Under certain circumstances, the warrants and pre-funded warrants may be exercisable on a “cashless” basis. The warrants and pre-funded warrants were classified as a component of stockholders’ equity and additional paid-in capital because such warrants and pre-funded warrants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common shares upon exercise, (v) are indexed to the Company’s common stock and (vi) meet the equity classification criteria. In addition, the warrants and pre-funded warrants do not provide any guarantee of value or return.</w:t>
      </w:r>
    </w:p>
    <w:p>
      <w:pPr>
        <w:spacing w:after="0" w:line="19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completed an underwritten public offering of its common stock. The Company sold 19,461,538 shares of its common stock at a public offering price of $16.25 per share. The Company raised aggregate proceeds of $296.8 million, net of underwriting discounts and commissions of $19.0 million and other offering costs of $0.5 million.</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Company completed an underwritten public offering of its common stock and pre-funded warrants to purchase shares of its common stock. The Company sold 17,567,567 shares of its common stock at a public offering price of $9.25 per share. The Company also sold 1,081,081 pre-funded warrants to purchase shares of its common stock at $9.249 per share, which represents the per share public offering price for the common stock less $0.001 per share, the exercise price for each pre-funded warrant. The Company raised net proceeds of $161.8 million, after deducting underwriting discounts and commissions of $10.4 million and other offering costs of $0.4 million. The terms and conditions of the pre-funded warrants and rights and obligations of the holder are the same as the pre-funded warrants sold in the July 2022 public offering and are described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Company’s outstanding warrants to purchase shares of its common stock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3"/>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 issued in connection with term loan (SVB)</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June 30, 2025</w:t>
            </w:r>
          </w:p>
        </w:tc>
        <w:tc>
          <w:tcPr>
            <w:tcW w:w="0" w:type="dxa"/>
            <w:vAlign w:val="bottom"/>
          </w:tcPr>
          <w:p>
            <w:pPr>
              <w:spacing w:after="0"/>
              <w:rPr>
                <w:sz w:val="1"/>
                <w:szCs w:val="1"/>
                <w:color w:val="auto"/>
              </w:rPr>
            </w:pPr>
          </w:p>
        </w:tc>
      </w:tr>
      <w:tr>
        <w:trPr>
          <w:trHeight w:val="226"/>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issued in connection with term loan (SVB)</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33,923</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28, 2031</w:t>
            </w:r>
          </w:p>
        </w:tc>
        <w:tc>
          <w:tcPr>
            <w:tcW w:w="0" w:type="dxa"/>
            <w:vAlign w:val="bottom"/>
          </w:tcPr>
          <w:p>
            <w:pPr>
              <w:spacing w:after="0"/>
              <w:rPr>
                <w:sz w:val="1"/>
                <w:szCs w:val="1"/>
                <w:color w:val="auto"/>
              </w:rPr>
            </w:pPr>
          </w:p>
        </w:tc>
      </w:tr>
      <w:tr>
        <w:trPr>
          <w:trHeight w:val="233"/>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Warrants issued in connection with term loan facility (K2HV)</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174,093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January 27, 2033</w:t>
            </w:r>
          </w:p>
        </w:tc>
        <w:tc>
          <w:tcPr>
            <w:tcW w:w="0" w:type="dxa"/>
            <w:vAlign w:val="bottom"/>
          </w:tcPr>
          <w:p>
            <w:pPr>
              <w:spacing w:after="0"/>
              <w:rPr>
                <w:sz w:val="1"/>
                <w:szCs w:val="1"/>
                <w:color w:val="auto"/>
              </w:rPr>
            </w:pPr>
          </w:p>
        </w:tc>
      </w:tr>
      <w:tr>
        <w:trPr>
          <w:trHeight w:val="226"/>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issued in public offering</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10,179,790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2024</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Pre-funded warrants issued in public offerings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1,881,081</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0.001</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Do not expire</w:t>
            </w:r>
          </w:p>
        </w:tc>
        <w:tc>
          <w:tcPr>
            <w:tcW w:w="0" w:type="dxa"/>
            <w:vAlign w:val="bottom"/>
          </w:tcPr>
          <w:p>
            <w:pPr>
              <w:spacing w:after="0"/>
              <w:rPr>
                <w:sz w:val="1"/>
                <w:szCs w:val="1"/>
                <w:color w:val="auto"/>
              </w:rPr>
            </w:pPr>
          </w:p>
        </w:tc>
      </w:tr>
      <w:tr>
        <w:trPr>
          <w:trHeight w:val="223"/>
        </w:trPr>
        <w:tc>
          <w:tcPr>
            <w:tcW w:w="6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outstanding</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12,293,887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-179070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Equity Incentive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Plan</w:t>
      </w:r>
    </w:p>
    <w:p>
      <w:pPr>
        <w:spacing w:after="0" w:line="1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September 2019, the Company’s board of directors adopted the 2019 Equity Incentive Plan (the “2019 Plan”), which also became effective in September 2019. The Company initially reserved 2,844,193 shares of common stock for issuance under the 2019 Plan. In addition, the number of shares of common stock reserved for issuance under the 2019 Plan will automatically increase on the first day of January for a period of up to ten years in an amount equal to 4% of the total number of shares of the Company’s capital stock outstanding on the immediately preceding December 31, or a lesser number of shares determined by the Company’s board of directors.</w:t>
      </w:r>
    </w:p>
    <w:p>
      <w:pPr>
        <w:spacing w:after="0" w:line="1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become exercisable and options generally vest over a four-year period, with 25% of options vesting on the first anniversary of employment, and thereafter, the remaining options vesting quarterly, over the following 36-month period. The options expire within ten years from the date of grant. The exercise price of awards granted will not be less than the estimated fair value of the shares on the date of grant. The 2019 Plan also permits the board of directors to grant restricted stock units, which are subject to continued service conditions.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17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February 2023, the Company’s board of directors adopted the 2023 Inducement Plan (the “Inducement Plan”) and reserved 1,500,000 shares of common stock for issuance. The Inducement Plan is a non-stockholder approved stock plan adopted pursuant to the “inducement exception” provided under Nasdaq listing rules. Under the Inducement Plan, the Company may grant RSUs, PSUs, nonstatutory stock options, stock appreciation rights and restricted stock awards to new hires who satisfy the requirements to be granted inducement grants under Nasdaq rules as an inducement material to the individual’s entry into employment with the Company. The terms of the Inducement Plan are substantially similar to the terms of the 2019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2019, the Company’s board of directors adopted the 2019 Employee Stock Purchase Plan (“ESPP”), which became effective in November 2019. The Company initially reserved 225,188 shares of common stock for purchase under the ESPP. The number of shares of common stock reserved for issuance under the ESPP will automatically increase on the first day of January for a period of up to ten years in an amount equal to 1% of the total number of shares of the Company’s common stock outstanding on the immediately preceding December 31, or a lesser number of shares determined by the Company’s board of directors. The Company typically makes two offerings each year to eligible employees to purchase stock under the ESPP and each offering has a duration of approximately six months. For each offering period, ESPP participants will purchase shares of common stock at a price per share equal to 85% of the lesser of the fair market value of the Company’s common stock on (1) the first trading day of the applicable offering period or (2) the last trading day of the applicable offering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5760" w:type="dxa"/>
            <w:vAlign w:val="bottom"/>
          </w:tcPr>
          <w:p>
            <w:pPr>
              <w:spacing w:after="0"/>
              <w:rPr>
                <w:sz w:val="16"/>
                <w:szCs w:val="16"/>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9"/>
        </w:trPr>
        <w:tc>
          <w:tcPr>
            <w:tcW w:w="57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3,161,917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(247,162 )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(181,078 )</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4,686,577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2,043,280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26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260" w:type="dxa"/>
            <w:vAlign w:val="bottom"/>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rPr>
              <w:t>$11.43</w:t>
            </w:r>
          </w:p>
        </w:tc>
        <w:tc>
          <w:tcPr>
            <w:tcW w:w="190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$3.38</w:t>
            </w:r>
          </w:p>
        </w:tc>
        <w:tc>
          <w:tcPr>
            <w:tcW w:w="1260" w:type="dxa"/>
            <w:vAlign w:val="bottom"/>
            <w:shd w:val="clear" w:color="auto" w:fill="CFF0FC"/>
          </w:tcPr>
          <w:p>
            <w:pPr>
              <w:jc w:val="right"/>
              <w:ind w:right="413"/>
              <w:spacing w:after="0"/>
              <w:rPr>
                <w:sz w:val="20"/>
                <w:szCs w:val="20"/>
                <w:color w:val="auto"/>
              </w:rPr>
            </w:pPr>
            <w:r>
              <w:rPr>
                <w:rFonts w:ascii="Times New Roman" w:cs="Times New Roman" w:eastAsia="Times New Roman" w:hAnsi="Times New Roman"/>
                <w:sz w:val="18"/>
                <w:szCs w:val="18"/>
                <w:color w:val="auto"/>
              </w:rPr>
              <w:t>$16.18</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2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5.5-6.1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5.5-6.3</w:t>
            </w:r>
          </w:p>
        </w:tc>
        <w:tc>
          <w:tcPr>
            <w:tcW w:w="126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7"/>
              </w:rPr>
              <w:t>5.5-6.1</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91.5-99.2%</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89.9-91.0%</w:t>
            </w:r>
          </w:p>
        </w:tc>
        <w:tc>
          <w:tcPr>
            <w:tcW w:w="1260" w:type="dxa"/>
            <w:vAlign w:val="bottom"/>
            <w:shd w:val="clear" w:color="auto" w:fill="CFF0FC"/>
          </w:tcPr>
          <w:p>
            <w:pPr>
              <w:jc w:val="center"/>
              <w:ind w:right="13"/>
              <w:spacing w:after="0"/>
              <w:rPr>
                <w:sz w:val="20"/>
                <w:szCs w:val="20"/>
                <w:color w:val="auto"/>
              </w:rPr>
            </w:pPr>
            <w:r>
              <w:rPr>
                <w:rFonts w:ascii="Times New Roman" w:cs="Times New Roman" w:eastAsia="Times New Roman" w:hAnsi="Times New Roman"/>
                <w:sz w:val="18"/>
                <w:szCs w:val="18"/>
                <w:color w:val="auto"/>
                <w:w w:val="99"/>
              </w:rPr>
              <w:t>86.9-91.9%</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3.4-4.6%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1.6-3.9%</w:t>
            </w:r>
          </w:p>
        </w:tc>
        <w:tc>
          <w:tcPr>
            <w:tcW w:w="126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0.7-1.3%</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1260" w:type="dxa"/>
            <w:vAlign w:val="bottom"/>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FF0FC"/>
          </w:tcPr>
          <w:p>
            <w:pPr>
              <w:jc w:val="center"/>
              <w:ind w:right="33"/>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65"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Compensation expense related to stock option awards were $11.7 million, $7.6 million and $7.5 million for the years ended December 31, 2023, 2022 and 2021, respectively. </w:t>
      </w:r>
      <w:r>
        <w:rPr>
          <w:rFonts w:ascii="Times New Roman" w:cs="Times New Roman" w:eastAsia="Times New Roman" w:hAnsi="Times New Roman"/>
          <w:sz w:val="18"/>
          <w:szCs w:val="18"/>
          <w:color w:val="000000"/>
        </w:rPr>
        <w:t>The intrinsic value of stock options exercised during the years ended December 31, 2023, 2022 and 2021 was $3.2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$0.6 million and $3.6 million, respectively.</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As of December 31, 2023, there was $21.7 million of unrecognized stock-based compensation related to unvested stock options, which is expected to be recognized over a weighted-average period of 2.6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and Performance Stock Units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RSUs generally vest annually over a two or three-year period. PSUs generally contain performance conditions associated with corporate goals, such as achievement of certain development milestones, that vests upon achievement over a one to three-year period.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and PSU activity for the year ended December 31, 2023: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645,986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449,752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(334,688 )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(150,584 )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(1,991 )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tcPr>
          <w:p>
            <w:pPr>
              <w:spacing w:after="0"/>
              <w:rPr>
                <w:sz w:val="21"/>
                <w:szCs w:val="21"/>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 as of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688,382</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299,168</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231F20"/>
        </w:rPr>
        <w:t>Compensation expense related to RSUs and PSUs were $4.3 million, $2.7 million and $1.1 million for the years ended December 31, 2023, 2022 and 2021, respectively. The total fair value of RSUs and PSUs that vested during the years ended December 31, 2023, 2022, and 2021 was $7.5 million, $0.9 million and nil,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231F20"/>
        </w:rPr>
        <w:t>As of December 31, 2023, total unrecognized stock-based compensation expense related to RSUs and PSUs was $5.3 million, which is expected to be recognized over a weighted-average period of 1.5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231F20"/>
        </w:rPr>
        <w:t>For the years ended December 31, 2023, 2022 and 2021, the number of shares of common stock issued under the Company’s ESPP were 27,217, 18,364 and 10,712,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 Allocation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Company recorded stock-based compensation for the periods indicated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16,106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Rates Applicable to the Income of the Company and its Subsidiaries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taxed according to U.S. federal and state tax laws and Israeli tax laws. The statutory tax rates applicable to the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for the periods presented were as follows:</w:t>
      </w:r>
    </w:p>
    <w:p>
      <w:pPr>
        <w:spacing w:after="0" w:line="26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16510</wp:posOffset>
            </wp:positionV>
            <wp:extent cx="34632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gridSpan w:val="2"/>
          </w:tcPr>
          <w:p>
            <w:pPr>
              <w:ind w:left="6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23"/>
        </w:trPr>
        <w:tc>
          <w:tcPr>
            <w:tcW w:w="5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8"/>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89bio, Inc.</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8"/>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89Bio Ltd.</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12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89bio Management, Inc.</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UAB 89bio Lithuania</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12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income tax (expense) benefit for the periods presented is comprised of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820" w:type="dxa"/>
            <w:vAlign w:val="bottom"/>
          </w:tcPr>
          <w:p>
            <w:pPr>
              <w:spacing w:after="0"/>
              <w:rPr>
                <w:sz w:val="19"/>
                <w:szCs w:val="19"/>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6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(3,740 )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3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28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4"/>
              </w:rPr>
              <w:t>(3,740 )</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7"/>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1"/>
                <w:szCs w:val="21"/>
                <w:color w:val="auto"/>
              </w:rPr>
            </w:pPr>
          </w:p>
        </w:tc>
      </w:tr>
      <w:tr>
        <w:trPr>
          <w:trHeight w:val="239"/>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2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4"/>
              </w:rPr>
              <w:t>(3,867 )</w:t>
            </w:r>
          </w:p>
        </w:tc>
        <w:tc>
          <w:tcPr>
            <w:tcW w:w="1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4"/>
                <w:szCs w:val="24"/>
                <w:color w:val="auto"/>
              </w:rPr>
            </w:pPr>
          </w:p>
        </w:tc>
      </w:tr>
      <w:tr>
        <w:trPr>
          <w:trHeight w:val="849"/>
        </w:trPr>
        <w:tc>
          <w:tcPr>
            <w:tcW w:w="382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jc w:val="right"/>
              <w:ind w:right="836"/>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-2022475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-2022475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-1396365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-1396365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-1053465</wp:posOffset>
            </wp:positionV>
            <wp:extent cx="76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-1071245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93" w:name="page94"/>
    <w:bookmarkEnd w:id="9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for the periods presented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900" w:type="dxa"/>
            <w:vAlign w:val="bottom"/>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net operating loss carryforwards</w:t>
            </w:r>
          </w:p>
        </w:tc>
        <w:tc>
          <w:tcPr>
            <w:tcW w:w="122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62,873</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41,834</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Israel net operating loss carryforwards</w:t>
            </w:r>
          </w:p>
        </w:tc>
        <w:tc>
          <w:tcPr>
            <w:tcW w:w="1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108,945</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76,301</w:t>
            </w:r>
          </w:p>
        </w:tc>
        <w:tc>
          <w:tcPr>
            <w:tcW w:w="100" w:type="dxa"/>
            <w:vAlign w:val="bottom"/>
          </w:tcPr>
          <w:p>
            <w:pPr>
              <w:spacing w:after="0"/>
              <w:rPr>
                <w:sz w:val="20"/>
                <w:szCs w:val="20"/>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(108,230 )</w:t>
            </w:r>
          </w:p>
        </w:tc>
        <w:tc>
          <w:tcPr>
            <w:tcW w:w="6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(75,982 )</w:t>
            </w:r>
          </w:p>
        </w:tc>
      </w:tr>
      <w:tr>
        <w:trPr>
          <w:trHeight w:val="237"/>
        </w:trPr>
        <w:tc>
          <w:tcPr>
            <w:tcW w:w="69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top w:val="single" w:sz="8" w:color="CFF0FC"/>
            </w:tcBorders>
          </w:tcPr>
          <w:p>
            <w:pPr>
              <w:spacing w:after="0"/>
              <w:rPr>
                <w:sz w:val="20"/>
                <w:szCs w:val="20"/>
                <w:color w:val="auto"/>
              </w:rPr>
            </w:pPr>
          </w:p>
        </w:tc>
      </w:tr>
      <w:tr>
        <w:trPr>
          <w:trHeight w:val="241"/>
        </w:trPr>
        <w:tc>
          <w:tcPr>
            <w:tcW w:w="69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(623 )</w:t>
            </w:r>
          </w:p>
        </w:tc>
        <w:tc>
          <w:tcPr>
            <w:tcW w:w="6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(623 )</w:t>
            </w:r>
          </w:p>
        </w:tc>
        <w:tc>
          <w:tcPr>
            <w:tcW w:w="6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1"/>
        </w:trPr>
        <w:tc>
          <w:tcPr>
            <w:tcW w:w="69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-1148080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-830580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recorded a valuation allowance of $108.2 million and $76.0 million, respectively, in respect of deferred tax assets resulting from tax loss carryforwards and other temporary differences. Realization of deferred tax assets is dependent upon future earnings, if any, the time and amount of which are uncertain. The Company regularly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an adjustment to income tax expense. The valuation allowance increased by $32.2 million in 2023, which primarily relates to significant taxable losses.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Carryforward Tax Losses and Credits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tax loss carryforward of approximately $195.0 million, $302.8 million, and $30.4 million for federal, state and Israeli tax purposes, respectively. As of December 31, 2022, the Company had an accumulated tax loss carryforward of approximately $160.9 million, $169.8 million, and $32.1 million for federal, state and Israeli tax purposes, respectively. Federal net operating losses generated after 2017 can be carried forward indefinitely but utilization will be limited to 80% of taxable income in the period that net operating losses are being utilized. Carryforward tax losses in California will begin to expire in 2039. Carryforward tax losses in Israel have no expiration date.</w:t>
      </w:r>
    </w:p>
    <w:p>
      <w:pPr>
        <w:spacing w:after="0" w:line="183"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federal research and development credit carryforwards of approximately $7.5 million and $4.3 million, respectively, which expire beginning in 2040. As of December 31, 2023 and 2022, the Company had state research and development credit carryforwards of approximately $3.2 million and $1.8 million, respectively, which will carry forward indefinitely.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 Before Income Tax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a loss from operations, before income tax for the periods presented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5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3"/>
        </w:trPr>
        <w:tc>
          <w:tcPr>
            <w:tcW w:w="5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(138,293 )</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(101,938 )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(91,141 )</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Lithuania</w:t>
            </w:r>
          </w:p>
        </w:tc>
        <w:tc>
          <w:tcPr>
            <w:tcW w:w="9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(62 )</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FF0FC"/>
          </w:tcPr>
          <w:p>
            <w:pPr>
              <w:spacing w:after="0"/>
              <w:rPr>
                <w:sz w:val="21"/>
                <w:szCs w:val="2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(138,322 )</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(102,007 )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(90,269 )</w:t>
            </w:r>
          </w:p>
        </w:tc>
      </w:tr>
      <w:tr>
        <w:trPr>
          <w:trHeight w:val="20"/>
        </w:trPr>
        <w:tc>
          <w:tcPr>
            <w:tcW w:w="5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-187960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Income Tax (Expense) Benefit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(expense) benefit based on the statutory tax rate to the effective tax rate for the periods presented is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3"/>
        </w:trPr>
        <w:tc>
          <w:tcPr>
            <w:tcW w:w="6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computed at statutory rates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(32,248 )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(33,936 )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(20,111 )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deferred tax true-up due to change in apportionment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(9,940 )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 net of uncertain tax position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21"/>
                <w:szCs w:val="2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(3,867 )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Utilization of U.S. federal and state net operating losses and credit carryforwards may be subject to an annual limitation provided for in Section 382 of the Internal Revenue Code and similar state codes. Any annual limitation could result in a deferral of the utilization of the net operating loss and credit carryforwards.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for the years ended December 31, 2023, 2022 and 2021 is as follows (in thousands):</w:t>
      </w:r>
    </w:p>
    <w:p>
      <w:pPr>
        <w:spacing w:after="0" w:line="16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0"/>
                <w:szCs w:val="20"/>
                <w:color w:val="auto"/>
              </w:rPr>
            </w:pPr>
          </w:p>
        </w:tc>
      </w:tr>
      <w:tr>
        <w:trPr>
          <w:trHeight w:val="23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related to prior year positions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47"/>
        </w:trPr>
        <w:tc>
          <w:tcPr>
            <w:tcW w:w="6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Company’s unrecognized tax benefits, exclusive of interest, totaled $12.1 million at December 31, 2023, of which $3.1 million, if recognized, would reduce income tax expense. A material portion of the Company’s gross unrecognized tax benefits, if recognized, would increase the Company’s net operating loss carryforward and would not have an impact to the effective tax rate as it would be offset by a full valuation allowance. For the year ended December 31, 2023, the amount of gross unrecognized tax benefits related to prior year tax positions increased by $9.4 million. The increase relates primarily to unresolved issues associated with tax returns for tax years 2018 through 2021 being audited by the Israel Tax Authority (“ITA”). In December 2023, the Company received a primary assessment from the ITA related to the Company’s 2019 reorganization and intercompany transaction to license the intellectual property rights from the Company’s Israeli subsidiary. The ITA has alleged that the transaction is deemed to be a sale of intellectual property rights. Although management believes that the Company has adequately accounted for its uncertain tax positions, the ultimate resolution of the ITA audit may result in payments that are materially different from what was originally recognized in the Company’s financial statements. The Company does not expect a resolution to this matter to be finalized within the next 12 months. Based on the information currently available, the Company does not anticipate significant increases or decreases to unrecognized tax benefits in the next twelve months. However, it is possible that such increases or decreases may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as income tax expense. As of December 31, 2023, the interest related to uncertain tax positions was approximately $0.6 million.</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California, Colorado, Indiana, Maryland, North Carolina, New Jersey, Virginia and certain foreign jurisdictions. To date, the Company has not been subject to any federal or state income tax audits. As of December 31, 2023, all tax years remain open to examination.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Cuts and Jobs Act included a change in the treatment of research and development (“R&amp;D”) expenditures for tax purposes under Section</w:t>
      </w:r>
    </w:p>
    <w:p>
      <w:pPr>
        <w:spacing w:after="0" w:line="27" w:lineRule="exact"/>
        <w:rPr>
          <w:sz w:val="20"/>
          <w:szCs w:val="20"/>
          <w:color w:val="auto"/>
        </w:rPr>
      </w:pPr>
    </w:p>
    <w:p>
      <w:pPr>
        <w:ind w:right="20" w:firstLine="8"/>
        <w:spacing w:after="0" w:line="253"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for tax years beginning after December 31, 2021, specified R&amp;D expenditures must undergo a five-year amortization period for domestic spend and a 15-year amortization period for foreign spend. Prior to the effective date (2021 tax year and prior), taxpayers were able to immediately expense R&amp;D costs under Section 174(a) or had the option to capitalize and amortize R&amp;D expenditures over a five-year recovery period under Section 174(b). The Company has evaluated the current legislation at this time and prepared the provision by following the treatment of R&amp;D expenditures for tax purposes under Section 174.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weighted-average shares outstanding used to calculate basic and diluted net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70,310,671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31,767,914</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20,098,340</w:t>
            </w: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862,199</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3,038,435</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71,172,870</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34,806,349</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20,098,340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common stock equivalents that have been excluded from the calculation of diluted net loss per share for the periods indicated due to their anti-dilutive effect: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4,686,577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3,161,917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2,406,668</w:t>
            </w: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 outstanding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1,095,738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106,394</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Warrants to purchase common stock outstanding</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10,412,806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13,166,283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58,923</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feature related to outstanding term loan</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590,816</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7"/>
        </w:trPr>
        <w:tc>
          <w:tcPr>
            <w:tcW w:w="6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16,677,749</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17,423,938</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2,571,985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80" w:hanging="63"/>
        <w:spacing w:after="0"/>
        <w:tabs>
          <w:tab w:leader="none" w:pos="580" w:val="left"/>
        </w:tabs>
        <w:numPr>
          <w:ilvl w:val="1"/>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pre-funded warrants to purchase 1,881,081 common shares as they are required to be included in basic and diluted net loss per share</w:t>
      </w:r>
      <w:r>
        <w:rPr>
          <w:rFonts w:ascii="Times New Roman" w:cs="Times New Roman" w:eastAsia="Times New Roman" w:hAnsi="Times New Roman"/>
          <w:sz w:val="14"/>
          <w:szCs w:val="14"/>
          <w:i w:val="1"/>
          <w:iCs w:val="1"/>
          <w:color w:val="auto"/>
        </w:rPr>
        <w:t>.</w:t>
      </w:r>
    </w:p>
    <w:p>
      <w:pPr>
        <w:spacing w:after="0" w:line="284" w:lineRule="exact"/>
        <w:rPr>
          <w:rFonts w:ascii="Times New Roman" w:cs="Times New Roman" w:eastAsia="Times New Roman" w:hAnsi="Times New Roman"/>
          <w:sz w:val="18"/>
          <w:szCs w:val="18"/>
          <w:color w:val="auto"/>
          <w:vertAlign w:val="superscript"/>
        </w:rPr>
      </w:pPr>
    </w:p>
    <w:p>
      <w:pPr>
        <w:ind w:left="260" w:hanging="252"/>
        <w:spacing w:after="0"/>
        <w:tabs>
          <w:tab w:leader="none" w:pos="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subsequent to December 31, 2023 and through the financial statement issuance date of March 1, 2024, and concluded that no material events occurred that would require disclosure.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our disclosure controls and procedures were effective as of December 31, 2023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occurred during the quarter ended December 31, 2023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under the Exchange Act). Internal control over financial reporting is a process designed under the supervision and with the participation of our management, including our principal executive officer and our principal financial officer, to provide reasonable assurance regarding the reliability of financial reporting and the preparation of financial statements for external purposes in accordance with generally accepted accounting principles in the United States.</w:t>
      </w:r>
    </w:p>
    <w:p>
      <w:pPr>
        <w:spacing w:after="0" w:line="183"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our internal control over financial reporting was effective as of December 31, 2023.</w:t>
      </w:r>
    </w:p>
    <w:p>
      <w:pPr>
        <w:spacing w:after="0" w:line="176"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an independent registered public accounting firm, as defined in their report which appears in Part II, Item 8 of this Annual Report on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during the three months ended December 31, 2023, as such terms are defined under Item 408(a)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incorporated herein by reference to information in our proxy statement for our 2024 Annual Meeting of Stockholders (the “2024 Proxy Statement”), which we expect to be filed with the SEC within 120 days of the end of our fiscal year ended December 31, 2023, including under the heading “Directors, Executive Officers and Corporate Governance.”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available on our website located at www.89bio.com, under “Corporate Governance.” We intend to disclose on our website any amendments to, or waivers from, the code of business conduct and ethics that are required to be disclosed pursuant to the disclosure requirements of Item 5.05 of Form 8-K within four business days following the date of the amendment or waiver.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to information in our 2024 Proxy Statement, including under headings “Executive Compensation” and “Directors, Executive Officers and Corporate Governance.”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is incorporated herein by reference to information in our 2024 Proxy Statement, including under headings “Security Ownership of Certain Beneficial Owners and Management” and “Executive Compensation-Securities Authorized for Issuance Under Equity Compensation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to information in our 2024 Proxy Statement, including under headings “Directors, Executive Officers and Corporate Governance” and “Certain Relationships and Related Party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to information in our 2024 Proxy Statement, including under the heading “Ratification of Selection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117" w:lineRule="exact"/>
        <w:rPr>
          <w:sz w:val="20"/>
          <w:szCs w:val="20"/>
          <w:color w:val="auto"/>
        </w:rPr>
      </w:pPr>
    </w:p>
    <w:p>
      <w:pPr>
        <w:ind w:left="1540" w:hanging="514"/>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Index to Consolidated Financial Statements at Part II Item 8 “Financial Statements and Supplementary Data.”</w:t>
      </w:r>
    </w:p>
    <w:p>
      <w:pPr>
        <w:spacing w:after="0" w:line="117" w:lineRule="exact"/>
        <w:rPr>
          <w:sz w:val="20"/>
          <w:szCs w:val="20"/>
          <w:color w:val="auto"/>
        </w:rPr>
      </w:pPr>
    </w:p>
    <w:p>
      <w:pPr>
        <w:ind w:left="1540" w:hanging="514"/>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1500"/>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are omitted as they are either not applicable or the information required is presented in the financial statements and notes thereto under Part II Item 8 “Financial Statements and Supplementary Data.”</w:t>
      </w:r>
    </w:p>
    <w:p>
      <w:pPr>
        <w:spacing w:after="0" w:line="54" w:lineRule="exact"/>
        <w:rPr>
          <w:sz w:val="20"/>
          <w:szCs w:val="20"/>
          <w:color w:val="auto"/>
        </w:rPr>
      </w:pPr>
    </w:p>
    <w:p>
      <w:pPr>
        <w:ind w:left="1540" w:hanging="514"/>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20" w:type="dxa"/>
            <w:vAlign w:val="bottom"/>
            <w:gridSpan w:val="25"/>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20" w:type="dxa"/>
            <w:vAlign w:val="bottom"/>
            <w:gridSpan w:val="2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20" w:type="dxa"/>
            <w:vAlign w:val="bottom"/>
            <w:tcBorders>
              <w:bottom w:val="single" w:sz="8" w:color="auto"/>
            </w:tcBorders>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Contribution and Exchange Agreement, dated as of September 17, 2019, by and among 89Bio Ltd., the Company and its shareholders (filed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with the SEC as Exhibit 2.1 to the Company’s Form S-1 filed on October 11, 2019)</w:t>
              </w:r>
            </w:hyperlink>
          </w:p>
        </w:tc>
        <w:tc>
          <w:tcPr>
            <w:tcW w:w="41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Second Amended and Restated Certificate of Incorporation of the Company (filed with the SEC as Exhibit 3.1 to the Company’s Current</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Report on Form 8-K filed on November 15,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Certificate of Amendment to the Second Amended and Restated Certificate of Incorporation of the Company (filed with the SEC as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on June 9, 2023)</w:t>
              </w:r>
            </w:hyperlink>
          </w:p>
        </w:tc>
        <w:tc>
          <w:tcPr>
            <w:tcW w:w="20" w:type="dxa"/>
            <w:vAlign w:val="bottom"/>
            <w:tcBorders>
              <w:bottom w:val="single" w:sz="8" w:color="0000EE"/>
            </w:tcBorders>
          </w:tcPr>
          <w:p>
            <w:pPr>
              <w:spacing w:after="0"/>
              <w:rPr>
                <w:sz w:val="17"/>
                <w:szCs w:val="17"/>
                <w:color w:val="auto"/>
              </w:rPr>
            </w:pPr>
          </w:p>
        </w:tc>
        <w:tc>
          <w:tcPr>
            <w:tcW w:w="4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Third Amended and Restated Bylaws of the Company (filed with the SEC as Exhibit 3.1 to the Company’s Current Report on Form 8-K</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filed on November 14, 2023)</w:t>
              </w:r>
            </w:hyperlink>
          </w:p>
        </w:tc>
        <w:tc>
          <w:tcPr>
            <w:tcW w:w="79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Specimen common stock certificate of the Company (filed with the SEC as Exhibit 4.1 to the Company’s Form S-1/A filed on October 28,</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FF"/>
                <w:w w:val="95"/>
              </w:rPr>
            </w:pPr>
            <w:hyperlink r:id="rId333">
              <w:r>
                <w:rPr>
                  <w:rFonts w:ascii="Times New Roman" w:cs="Times New Roman" w:eastAsia="Times New Roman" w:hAnsi="Times New Roman"/>
                  <w:sz w:val="18"/>
                  <w:szCs w:val="18"/>
                  <w:color w:val="0000FF"/>
                  <w:w w:val="95"/>
                </w:rPr>
                <w:t>2019)</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8300" w:type="dxa"/>
            <w:vAlign w:val="bottom"/>
            <w:gridSpan w:val="3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Form of Warrant to Purchase Common Stock for Silicon Valley Bank (filed with SEC as Exhibit 4.1 to the Company’s Current Report on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Form 8-K filed on April 13,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Form of Warrant to Purchase Common Stock for Silicon Valley Bank (filed with the SEC as Exhibit 4.1 to the Company’s Current Report</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on Form 8-K filed on June 4, 2021)</w:t>
              </w:r>
            </w:hyperlink>
          </w:p>
        </w:tc>
        <w:tc>
          <w:tcPr>
            <w:tcW w:w="20" w:type="dxa"/>
            <w:vAlign w:val="bottom"/>
            <w:tcBorders>
              <w:bottom w:val="single" w:sz="8" w:color="0000EE"/>
            </w:tcBorders>
          </w:tcPr>
          <w:p>
            <w:pPr>
              <w:spacing w:after="0"/>
              <w:rPr>
                <w:sz w:val="17"/>
                <w:szCs w:val="17"/>
                <w:color w:val="auto"/>
              </w:rPr>
            </w:pPr>
          </w:p>
        </w:tc>
        <w:tc>
          <w:tcPr>
            <w:tcW w:w="75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Form of Warrant (filed with the SEC as Exhibit 4.1 to the Company’s Current Report on Form 8-K filed on July 1, 2022)</w:t>
              </w:r>
            </w:hyperlink>
          </w:p>
        </w:tc>
        <w:tc>
          <w:tcPr>
            <w:tcW w:w="20" w:type="dxa"/>
            <w:vAlign w:val="bottom"/>
            <w:tcBorders>
              <w:bottom w:val="single" w:sz="8" w:color="0000EE"/>
            </w:tcBorders>
          </w:tcPr>
          <w:p>
            <w:pPr>
              <w:spacing w:after="0"/>
              <w:rPr>
                <w:sz w:val="24"/>
                <w:szCs w:val="24"/>
                <w:color w:val="auto"/>
              </w:rPr>
            </w:pPr>
          </w:p>
        </w:tc>
        <w:tc>
          <w:tcPr>
            <w:tcW w:w="1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4"/>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Pre-Funded Warrant (filed with the SEC as Exhibit 4.2 to the Company’s Current Report on Form 8-K filed on July 1,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Form of Warrant to Purchase Common Stock for K2 HealthVentures LLC (filed with the SEC as Exhibit 4.1 to the Company’s Current</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Report on Form 8-K/A filed on February 2, 2023)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Form of Pre-Funded Warrant (filed with the SEC as Exhibit 4.1 to the Company’s Current Report on Form 8-K filed on December 8, 2023)</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Sales Agreement, dated March 25, 2021, by and among the Company, SVB Securities LLC and Cantor Fitzgerald &amp; Co. (filed with the</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SEC as Exhibit 1.2 to the Company’s Form S-3 filed on March 25, 2021)</w:t>
              </w:r>
            </w:hyperlink>
          </w:p>
        </w:tc>
        <w:tc>
          <w:tcPr>
            <w:tcW w:w="20" w:type="dxa"/>
            <w:vAlign w:val="bottom"/>
            <w:tcBorders>
              <w:bottom w:val="single" w:sz="8" w:color="0000EE"/>
            </w:tcBorders>
          </w:tcPr>
          <w:p>
            <w:pPr>
              <w:spacing w:after="0"/>
              <w:rPr>
                <w:sz w:val="17"/>
                <w:szCs w:val="17"/>
                <w:color w:val="auto"/>
              </w:rPr>
            </w:pPr>
          </w:p>
        </w:tc>
        <w:tc>
          <w:tcPr>
            <w:tcW w:w="48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Amendment No. 1 to Sales Agreement, dated February 15, 2023, by and among the Company, SVB Securities LLC and Cantor Fitzgerald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&amp; Co. (filed with the SEC as Exhibit 1.2 to the Company’s Current Report on Form 8-K filed on February 16, 2023)</w:t>
              </w:r>
            </w:hyperlink>
          </w:p>
        </w:tc>
        <w:tc>
          <w:tcPr>
            <w:tcW w:w="20" w:type="dxa"/>
            <w:vAlign w:val="bottom"/>
            <w:tcBorders>
              <w:bottom w:val="single" w:sz="8" w:color="0000EE"/>
            </w:tcBorders>
          </w:tcPr>
          <w:p>
            <w:pPr>
              <w:spacing w:after="0"/>
              <w:rPr>
                <w:sz w:val="17"/>
                <w:szCs w:val="17"/>
                <w:color w:val="auto"/>
              </w:rPr>
            </w:pPr>
          </w:p>
        </w:tc>
        <w:tc>
          <w:tcPr>
            <w:tcW w:w="1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Indemnification Agreement for directors and executive officers (filed with the SEC as Exhibit 10.1 to the Company’s Form S-1</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filed on October 11,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0000EE"/>
            </w:tcBorders>
            <w:gridSpan w:val="3"/>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Amended and Restated 2019 Equity Incentive Plan and form of agreements thereunder (filed with the SEC as Exhibit 10.2 to the</w:t>
              </w:r>
            </w:hyperlink>
          </w:p>
        </w:tc>
        <w:tc>
          <w:tcPr>
            <w:tcW w:w="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4"/>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Company’s Form S-1/A filed on October 28,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Borders>
              <w:right w:val="single" w:sz="8" w:color="0000EE"/>
            </w:tcBorders>
            <w:gridSpan w:val="9"/>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2019 Employee Stock Purchase Plan (filed with the SEC as Exhibit 10.3 to the Company’s Form S-1/A filed on October 28, 2019)</w:t>
              </w:r>
            </w:hyperlink>
          </w:p>
        </w:tc>
        <w:tc>
          <w:tcPr>
            <w:tcW w:w="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4"/>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2023 Inducement Plan (filed with the SEC as Exhibit 99.3 to the Company’s Form S-8 filed on March 15, 2023).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13"/>
            <w:shd w:val="clear" w:color="auto" w:fill="0000FF"/>
          </w:tcPr>
          <w:p>
            <w:pPr>
              <w:spacing w:after="0" w:line="20" w:lineRule="exact"/>
              <w:rPr>
                <w:sz w:val="1"/>
                <w:szCs w:val="1"/>
                <w:color w:val="auto"/>
              </w:rPr>
            </w:pPr>
          </w:p>
        </w:tc>
        <w:tc>
          <w:tcPr>
            <w:tcW w:w="278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gridSpan w:val="1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Executive Employment Offer Letter, dated April 15, 2020, by and between the Company and Rohan Palekar (filed with the SEC as Exhibit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on May 4, 2020)</w:t>
              </w:r>
            </w:hyperlink>
          </w:p>
        </w:tc>
        <w:tc>
          <w:tcPr>
            <w:tcW w:w="47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000" w:type="dxa"/>
            <w:vAlign w:val="bottom"/>
          </w:tcPr>
          <w:p>
            <w:pPr>
              <w:spacing w:after="0"/>
              <w:rPr>
                <w:sz w:val="24"/>
                <w:szCs w:val="24"/>
                <w:color w:val="auto"/>
              </w:rPr>
            </w:pPr>
          </w:p>
        </w:tc>
        <w:tc>
          <w:tcPr>
            <w:tcW w:w="5380" w:type="dxa"/>
            <w:vAlign w:val="bottom"/>
            <w:gridSpan w:val="12"/>
          </w:tcPr>
          <w:p>
            <w:pPr>
              <w:jc w:val="right"/>
              <w:ind w:right="539"/>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0" w:type="dxa"/>
            <w:vAlign w:val="bottom"/>
            <w:gridSpan w:val="26"/>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right"/>
              <w:ind w:right="152"/>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Executive Employment Offer Letter, dated April 15, 2020, by and between the Company and Hank Mansbach (filed with the SEC as</w:t>
              </w:r>
            </w:hyperlink>
          </w:p>
        </w:tc>
        <w:tc>
          <w:tcPr>
            <w:tcW w:w="5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Exhibit 10.3 to the Company’s Current Report on Form 8-K filed on May 4, 2020)</w:t>
              </w:r>
            </w:hyperlink>
          </w:p>
        </w:tc>
        <w:tc>
          <w:tcPr>
            <w:tcW w:w="4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Executive Employment Offer Letter, dated April 15, 2020, by and between the Company and Quoc Le-Nguyen (filed with the SEC as</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Exhibit 10.4 to the Company’s Current Report on Form 8-K filed on May 4, 2020)</w:t>
              </w:r>
            </w:hyperlink>
          </w:p>
        </w:tc>
        <w:tc>
          <w:tcPr>
            <w:tcW w:w="4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Executive Employment Offer Letter, dated April 15, 2020, by and between the Company and Ryan Martins (filed with the SEC as Exhibit</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Current Report on Form 8-K filed on May 4, 2020)</w:t>
              </w:r>
            </w:hyperlink>
          </w:p>
        </w:tc>
        <w:tc>
          <w:tcPr>
            <w:tcW w:w="20" w:type="dxa"/>
            <w:vAlign w:val="bottom"/>
            <w:tcBorders>
              <w:bottom w:val="single" w:sz="8" w:color="0000EE"/>
            </w:tcBorders>
          </w:tcPr>
          <w:p>
            <w:pPr>
              <w:spacing w:after="0"/>
              <w:rPr>
                <w:sz w:val="17"/>
                <w:szCs w:val="17"/>
                <w:color w:val="auto"/>
              </w:rPr>
            </w:pPr>
          </w:p>
        </w:tc>
        <w:tc>
          <w:tcPr>
            <w:tcW w:w="47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Director Offer Letter, dated July 1, 2018, by and between 89Bio Ltd. and Michael Hayden (filed with the SEC as Exhibit 10.9 to the</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352">
              <w:r>
                <w:rPr>
                  <w:rFonts w:ascii="Times New Roman" w:cs="Times New Roman" w:eastAsia="Times New Roman" w:hAnsi="Times New Roman"/>
                  <w:sz w:val="18"/>
                  <w:szCs w:val="18"/>
                  <w:color w:val="0000FF"/>
                  <w:w w:val="98"/>
                </w:rPr>
                <w:t>Company’s Form S-1 filed on October 11, 2019)</w:t>
              </w:r>
            </w:hyperlink>
          </w:p>
        </w:tc>
        <w:tc>
          <w:tcPr>
            <w:tcW w:w="66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Asset Transfer and License Agreement—FGF21 by and among 89Bio Ltd., ratiopharm GmbH, Teva Branded Pharmaceutical Products</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R&amp;D, Inc. and Teva Pharmaceutical Industries Ltd, dated as of April 16, 2018 (filed with the SEC as Exhibit 10.11 to the Company’s Form</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53">
              <w:r>
                <w:rPr>
                  <w:rFonts w:ascii="Times New Roman" w:cs="Times New Roman" w:eastAsia="Times New Roman" w:hAnsi="Times New Roman"/>
                  <w:sz w:val="18"/>
                  <w:szCs w:val="18"/>
                  <w:color w:val="0000FF"/>
                  <w:w w:val="98"/>
                </w:rPr>
                <w:t>S-1 filed on October 11, 2019)</w:t>
              </w:r>
            </w:hyperlink>
          </w:p>
        </w:tc>
        <w:tc>
          <w:tcPr>
            <w:tcW w:w="20" w:type="dxa"/>
            <w:vAlign w:val="bottom"/>
            <w:tcBorders>
              <w:bottom w:val="single" w:sz="8" w:color="0000EE"/>
            </w:tcBorders>
          </w:tcPr>
          <w:p>
            <w:pPr>
              <w:spacing w:after="0"/>
              <w:rPr>
                <w:sz w:val="17"/>
                <w:szCs w:val="17"/>
                <w:color w:val="auto"/>
              </w:rPr>
            </w:pPr>
          </w:p>
        </w:tc>
        <w:tc>
          <w:tcPr>
            <w:tcW w:w="79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Sublicense Agreement by and between 89Bio Ltd. and ratiopharm GmbH, dated as of April 16, 2018 (filed with the SEC as Exhibit 10.13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top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the Company’s Form S-1 filed on October 11,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Master Services Agreement by and between 89Bio Ltd. and Biotechpharma UAB, dated as of May 7, 2018, as amended (filed with the SEC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5"/>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as Exhibit 10.14 to the Company’s Form S-1 filed on October 11,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Master Contract Services Agreement by and between the Company and BiBo Biopharma Engineering Co., Ltd., dated as of February 10,</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2023, as amended (filed with the SEC as Exhibit 10.4 to the Company’s Quarterly Report on Form 10-Q filed on May 8, 2023)</w:t>
              </w:r>
            </w:hyperlink>
          </w:p>
        </w:tc>
        <w:tc>
          <w:tcPr>
            <w:tcW w:w="9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Office Lease by and between 89bio, Inc. and King Family Irrevocable Trust, dated as of December 5, 2019 (filed with the SEC as Exhibit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5"/>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0000FF"/>
                </w:rPr>
                <w:t xml:space="preserve"> to the Company’s Annual Report on Form 10-K filed on March 18,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EE"/>
            </w:tcBorders>
            <w:gridSpan w:val="4"/>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First Amendment to Office Lease, dated as of July 27, 2021, by and between King Family Irrevocable Trust and the Company (filed with</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the SEC as Exhibit 10.1 to the Company’s Quarterly Report on Form 10-Q filed on November 12, 2021)</w:t>
              </w:r>
            </w:hyperlink>
          </w:p>
        </w:tc>
        <w:tc>
          <w:tcPr>
            <w:tcW w:w="20" w:type="dxa"/>
            <w:vAlign w:val="bottom"/>
            <w:tcBorders>
              <w:bottom w:val="single" w:sz="8" w:color="0000EE"/>
            </w:tcBorders>
          </w:tcPr>
          <w:p>
            <w:pPr>
              <w:spacing w:after="0"/>
              <w:rPr>
                <w:sz w:val="17"/>
                <w:szCs w:val="17"/>
                <w:color w:val="auto"/>
              </w:rPr>
            </w:pPr>
          </w:p>
        </w:tc>
        <w:tc>
          <w:tcPr>
            <w:tcW w:w="2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Second Amendment to Office Lease, dated as of August 31, 2022, by and between King Family Irrevocable Trust and the Company (filed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5"/>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with the SEC as Exhibit 10.1 to the Company’s Quarterly Report on Form 10-Q filed on November 10,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580" w:type="dxa"/>
            <w:vAlign w:val="bottom"/>
            <w:tcBorders>
              <w:right w:val="single" w:sz="8" w:color="0000EE"/>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Loan and Security Agreement, dated as of January 4, 2023, among the Company, 89bio Management, Inc., 89Bio Ltd., K2 HealthVentures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LLC and Ankura Trust Company, LLC (filed with the SEC as Exhibit 10.1 to the Company’s Current Report on Form 8-K filed January 6,</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FF"/>
                <w:w w:val="95"/>
              </w:rPr>
            </w:pPr>
            <w:hyperlink r:id="rId360">
              <w:r>
                <w:rPr>
                  <w:rFonts w:ascii="Times New Roman" w:cs="Times New Roman" w:eastAsia="Times New Roman" w:hAnsi="Times New Roman"/>
                  <w:sz w:val="18"/>
                  <w:szCs w:val="18"/>
                  <w:color w:val="0000FF"/>
                  <w:w w:val="95"/>
                </w:rPr>
                <w:t>2023)</w:t>
              </w:r>
            </w:hyperlink>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6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List of subsidiaries (filed with the SEC as Exhibit 21.1 to the Company’s Form S-1 filed on October 11, 2019)</w:t>
              </w:r>
            </w:hyperlink>
          </w:p>
        </w:tc>
        <w:tc>
          <w:tcPr>
            <w:tcW w:w="0" w:type="dxa"/>
            <w:vAlign w:val="bottom"/>
          </w:tcPr>
          <w:p>
            <w:pPr>
              <w:spacing w:after="0"/>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3600" w:type="dxa"/>
            <w:vAlign w:val="bottom"/>
            <w:tcBorders>
              <w:top w:val="single" w:sz="8" w:color="0000FF"/>
            </w:tcBorders>
            <w:gridSpan w:val="9"/>
          </w:tcPr>
          <w:p>
            <w:pPr>
              <w:spacing w:after="0"/>
              <w:rPr>
                <w:sz w:val="24"/>
                <w:szCs w:val="24"/>
                <w:color w:val="auto"/>
              </w:rPr>
            </w:pPr>
          </w:p>
        </w:tc>
        <w:tc>
          <w:tcPr>
            <w:tcW w:w="2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Power of Attorney</w:t>
            </w:r>
          </w:p>
        </w:tc>
        <w:tc>
          <w:tcPr>
            <w:tcW w:w="20" w:type="dxa"/>
            <w:vAlign w:val="bottom"/>
            <w:tcBorders>
              <w:bottom w:val="single" w:sz="8" w:color="0000EE"/>
            </w:tcBorders>
          </w:tcPr>
          <w:p>
            <w:pPr>
              <w:spacing w:after="0"/>
              <w:rPr>
                <w:sz w:val="24"/>
                <w:szCs w:val="24"/>
                <w:color w:val="auto"/>
              </w:rPr>
            </w:pPr>
          </w:p>
        </w:tc>
        <w:tc>
          <w:tcPr>
            <w:tcW w:w="8760" w:type="dxa"/>
            <w:vAlign w:val="bottom"/>
            <w:gridSpan w:val="3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w:t>
            </w:r>
          </w:p>
        </w:tc>
        <w:tc>
          <w:tcPr>
            <w:tcW w:w="0" w:type="dxa"/>
            <w:vAlign w:val="bottom"/>
          </w:tcPr>
          <w:p>
            <w:pPr>
              <w:spacing w:after="0"/>
              <w:rPr>
                <w:sz w:val="1"/>
                <w:szCs w:val="1"/>
                <w:color w:val="auto"/>
              </w:rPr>
            </w:pPr>
          </w:p>
        </w:tc>
      </w:tr>
      <w:tr>
        <w:trPr>
          <w:trHeight w:val="291"/>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w:t>
            </w:r>
          </w:p>
        </w:tc>
        <w:tc>
          <w:tcPr>
            <w:tcW w:w="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18 U.S.C. Section 1350</w:t>
            </w:r>
          </w:p>
        </w:tc>
        <w:tc>
          <w:tcPr>
            <w:tcW w:w="1320" w:type="dxa"/>
            <w:vAlign w:val="bottom"/>
            <w:tcBorders>
              <w:top w:val="single" w:sz="8" w:color="0000FF"/>
            </w:tcBorders>
            <w:gridSpan w:val="2"/>
          </w:tcPr>
          <w:p>
            <w:pPr>
              <w:spacing w:after="0"/>
              <w:rPr>
                <w:sz w:val="24"/>
                <w:szCs w:val="24"/>
                <w:color w:val="auto"/>
              </w:rPr>
            </w:pPr>
          </w:p>
        </w:tc>
        <w:tc>
          <w:tcPr>
            <w:tcW w:w="8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Incentive Compensation Clawback Policy</w:t>
            </w:r>
          </w:p>
        </w:tc>
        <w:tc>
          <w:tcPr>
            <w:tcW w:w="710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661"/>
        </w:trPr>
        <w:tc>
          <w:tcPr>
            <w:tcW w:w="1000" w:type="dxa"/>
            <w:vAlign w:val="bottom"/>
          </w:tcPr>
          <w:p>
            <w:pPr>
              <w:spacing w:after="0"/>
              <w:rPr>
                <w:sz w:val="24"/>
                <w:szCs w:val="24"/>
                <w:color w:val="auto"/>
              </w:rPr>
            </w:pPr>
          </w:p>
        </w:tc>
        <w:tc>
          <w:tcPr>
            <w:tcW w:w="5280" w:type="dxa"/>
            <w:vAlign w:val="bottom"/>
            <w:gridSpan w:val="12"/>
          </w:tcPr>
          <w:p>
            <w:pPr>
              <w:jc w:val="right"/>
              <w:ind w:right="448"/>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1014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10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10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 </w:t>
            </w:r>
          </w:p>
        </w:tc>
        <w:tc>
          <w:tcPr>
            <w:tcW w:w="10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the exhibit have been omitted for confidentiality purposes.</w:t>
      </w:r>
    </w:p>
    <w:p>
      <w:pPr>
        <w:spacing w:after="0" w:line="9" w:lineRule="exact"/>
        <w:rPr>
          <w:sz w:val="20"/>
          <w:szCs w:val="20"/>
          <w:color w:val="auto"/>
        </w:rPr>
      </w:pPr>
    </w:p>
    <w:p>
      <w:pPr>
        <w:ind w:firstLine="8"/>
        <w:spacing w:after="0" w:line="260" w:lineRule="auto"/>
        <w:tabs>
          <w:tab w:leader="none" w:pos="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Exchange Act, and shall not be deemed to be incorporated by reference into any filing under the Securities Act of 1933, as amended, or the Exchange Act.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89bio, Inc.</w:t>
            </w:r>
          </w:p>
        </w:tc>
        <w:tc>
          <w:tcPr>
            <w:tcW w:w="4480" w:type="dxa"/>
            <w:vAlign w:val="bottom"/>
          </w:tcPr>
          <w:p>
            <w:pPr>
              <w:spacing w:after="0"/>
              <w:rPr>
                <w:sz w:val="20"/>
                <w:szCs w:val="20"/>
                <w:color w:val="auto"/>
              </w:rPr>
            </w:pPr>
          </w:p>
        </w:tc>
      </w:tr>
      <w:tr>
        <w:trPr>
          <w:trHeight w:val="47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 2024</w:t>
            </w:r>
          </w:p>
        </w:tc>
        <w:tc>
          <w:tcPr>
            <w:tcW w:w="32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/s/ Rohan Palekar</w:t>
            </w:r>
          </w:p>
        </w:tc>
      </w:tr>
      <w:tr>
        <w:trPr>
          <w:trHeight w:val="201"/>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jc w:val="center"/>
              <w:ind w:right="590"/>
              <w:spacing w:after="0" w:line="201" w:lineRule="exact"/>
              <w:rPr>
                <w:sz w:val="20"/>
                <w:szCs w:val="20"/>
                <w:color w:val="auto"/>
              </w:rPr>
            </w:pPr>
            <w:r>
              <w:rPr>
                <w:rFonts w:ascii="Times New Roman" w:cs="Times New Roman" w:eastAsia="Times New Roman" w:hAnsi="Times New Roman"/>
                <w:sz w:val="18"/>
                <w:szCs w:val="18"/>
                <w:b w:val="1"/>
                <w:bCs w:val="1"/>
                <w:color w:val="auto"/>
              </w:rPr>
              <w:t>Rohan Palekar</w:t>
            </w:r>
          </w:p>
        </w:tc>
      </w:tr>
      <w:tr>
        <w:trPr>
          <w:trHeight w:val="218"/>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2"/>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jc w:val="center"/>
              <w:ind w:right="5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24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 2024</w:t>
            </w:r>
          </w:p>
        </w:tc>
        <w:tc>
          <w:tcPr>
            <w:tcW w:w="32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 Ryan Martins</w:t>
            </w:r>
          </w:p>
        </w:tc>
      </w:tr>
      <w:tr>
        <w:trPr>
          <w:trHeight w:val="201"/>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jc w:val="center"/>
              <w:ind w:right="590"/>
              <w:spacing w:after="0" w:line="201" w:lineRule="exact"/>
              <w:rPr>
                <w:sz w:val="20"/>
                <w:szCs w:val="20"/>
                <w:color w:val="auto"/>
              </w:rPr>
            </w:pPr>
            <w:r>
              <w:rPr>
                <w:rFonts w:ascii="Times New Roman" w:cs="Times New Roman" w:eastAsia="Times New Roman" w:hAnsi="Times New Roman"/>
                <w:sz w:val="18"/>
                <w:szCs w:val="18"/>
                <w:b w:val="1"/>
                <w:bCs w:val="1"/>
                <w:color w:val="auto"/>
              </w:rPr>
              <w:t>Ryan Martins</w:t>
            </w:r>
          </w:p>
        </w:tc>
      </w:tr>
      <w:tr>
        <w:trPr>
          <w:trHeight w:val="218"/>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jc w:val="center"/>
              <w:ind w:right="57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r>
        <w:trPr>
          <w:trHeight w:val="878"/>
        </w:trPr>
        <w:tc>
          <w:tcPr>
            <w:tcW w:w="3500" w:type="dxa"/>
            <w:vAlign w:val="bottom"/>
          </w:tcPr>
          <w:p>
            <w:pPr>
              <w:spacing w:after="0"/>
              <w:rPr>
                <w:sz w:val="24"/>
                <w:szCs w:val="24"/>
                <w:color w:val="auto"/>
              </w:rPr>
            </w:pPr>
          </w:p>
        </w:tc>
        <w:tc>
          <w:tcPr>
            <w:tcW w:w="2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Rohan Palekar, and Ryan Martins,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this Annual Report on Form 10-K, any and all amendments thereto,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Exchange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8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40"/>
        <w:spacing w:after="0"/>
        <w:tabs>
          <w:tab w:leader="none" w:pos="5600" w:val="left"/>
          <w:tab w:leader="none" w:pos="94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Rohan Palekar</w:t>
            </w:r>
          </w:p>
        </w:tc>
        <w:tc>
          <w:tcPr>
            <w:tcW w:w="44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Rohan Palekar</w:t>
            </w:r>
          </w:p>
        </w:tc>
        <w:tc>
          <w:tcPr>
            <w:tcW w:w="4440" w:type="dxa"/>
            <w:vAlign w:val="bottom"/>
          </w:tcPr>
          <w:p>
            <w:pPr>
              <w:jc w:val="center"/>
              <w:ind w:right="9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Martins</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Ryan Martins</w:t>
            </w:r>
          </w:p>
        </w:tc>
        <w:tc>
          <w:tcPr>
            <w:tcW w:w="4440" w:type="dxa"/>
            <w:vAlign w:val="bottom"/>
          </w:tcPr>
          <w:p>
            <w:pPr>
              <w:jc w:val="center"/>
              <w:ind w:right="93"/>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r>
              <w:rPr>
                <w:rFonts w:ascii="Times New Roman" w:cs="Times New Roman" w:eastAsia="Times New Roman" w:hAnsi="Times New Roman"/>
                <w:sz w:val="14"/>
                <w:szCs w:val="14"/>
                <w:color w:val="auto"/>
              </w:rPr>
              <w:t>)</w:t>
            </w: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Altschuler</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Altschuler, M.D.</w:t>
            </w:r>
          </w:p>
        </w:tc>
        <w:tc>
          <w:tcPr>
            <w:tcW w:w="44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Derek DiRocco</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Derek DiRocco, Ph.D.</w:t>
            </w:r>
          </w:p>
        </w:tc>
        <w:tc>
          <w:tcPr>
            <w:tcW w:w="44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Hayden</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Hayden, M.B., Ch.B., Ph.D.</w:t>
            </w:r>
          </w:p>
        </w:tc>
        <w:tc>
          <w:tcPr>
            <w:tcW w:w="44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D. LaPorte</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Kathleen D. LaPorte</w:t>
            </w:r>
          </w:p>
        </w:tc>
        <w:tc>
          <w:tcPr>
            <w:tcW w:w="44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Lota Zoth</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Lota Zoth, C.P.A.</w:t>
            </w:r>
          </w:p>
        </w:tc>
        <w:tc>
          <w:tcPr>
            <w:tcW w:w="44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Morrow Atkinson III</w:t>
            </w:r>
          </w:p>
        </w:tc>
        <w:tc>
          <w:tcPr>
            <w:tcW w:w="44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Morrow Atkinson III</w:t>
            </w:r>
          </w:p>
        </w:tc>
        <w:tc>
          <w:tcPr>
            <w:tcW w:w="44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876"/>
        </w:trPr>
        <w:tc>
          <w:tcPr>
            <w:tcW w:w="3620" w:type="dxa"/>
            <w:vAlign w:val="bottom"/>
          </w:tcPr>
          <w:p>
            <w:pPr>
              <w:spacing w:after="0"/>
              <w:rPr>
                <w:sz w:val="24"/>
                <w:szCs w:val="24"/>
                <w:color w:val="auto"/>
              </w:rPr>
            </w:pPr>
          </w:p>
        </w:tc>
        <w:tc>
          <w:tcPr>
            <w:tcW w:w="4440" w:type="dxa"/>
            <w:vAlign w:val="bottom"/>
          </w:tcPr>
          <w:p>
            <w:pPr>
              <w:jc w:val="right"/>
              <w:ind w:right="2213"/>
              <w:spacing w:after="0"/>
              <w:rPr>
                <w:sz w:val="20"/>
                <w:szCs w:val="20"/>
                <w:color w:val="auto"/>
              </w:rPr>
            </w:pPr>
            <w:r>
              <w:rPr>
                <w:rFonts w:ascii="Times New Roman" w:cs="Times New Roman" w:eastAsia="Times New Roman" w:hAnsi="Times New Roman"/>
                <w:sz w:val="18"/>
                <w:szCs w:val="18"/>
                <w:color w:val="auto"/>
              </w:rPr>
              <w:t>105</w:t>
            </w:r>
          </w:p>
        </w:tc>
        <w:tc>
          <w:tcPr>
            <w:tcW w:w="318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 OF 1934</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second amended and restated certificate of incorporation (as amended, the “Amended Certificate”), our third amended and restated bylaws (the “Amended Bylaws”) and applicable provisions of Delaware corporate law. You should read our Amended Certificate and Amended Bylaws, which are filed as exhibits to our Annual Report on Form 10-K, to which this exhibit is also appended.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and 10,000,000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Amended Certificate authorizes the issuance of up to 200,000,000 shares of our common stock. All outstanding shares of our common stock are validly issued, fully paid and nonassessable.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stockholders. A majority vote of the shares present in person or represented by proxy and entitled to vote on the subject matter is required for the holders of our common stock to take action on all matters (except for election of directors (as discussed below)), except as otherwise required by law, our Amended Certificate or our Amended Bylaws. Our Amended Certificate does not provide for cumulative voting in the election of directors. The holders of our common stock will receive ratably any dividends declared by our board of directors out of funds legally available therefor. In the event of our liquidation, dissolution or winding-up, the holders of our common stock will be entitled to share ratably in all assets remaining after payment of or provision for any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Under the terms of our Amended Certificate,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6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Certificate, Amended Bylaws and Delaware Law</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Certificate and our Amended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w:t>
      </w:r>
    </w:p>
    <w:p>
      <w:pPr>
        <w:spacing w:after="0" w:line="209" w:lineRule="exact"/>
        <w:rPr>
          <w:sz w:val="20"/>
          <w:szCs w:val="20"/>
          <w:color w:val="auto"/>
        </w:rPr>
      </w:pPr>
    </w:p>
    <w:p>
      <w:pPr>
        <w:ind w:left="760" w:right="20" w:hanging="378"/>
        <w:spacing w:after="0" w:line="241" w:lineRule="auto"/>
        <w:tabs>
          <w:tab w:leader="none" w:pos="7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Issuance of undesignated preferred stock: </w:t>
      </w:r>
      <w:r>
        <w:rPr>
          <w:rFonts w:ascii="Times New Roman" w:cs="Times New Roman" w:eastAsia="Times New Roman" w:hAnsi="Times New Roman"/>
          <w:sz w:val="18"/>
          <w:szCs w:val="18"/>
          <w:color w:val="auto"/>
        </w:rPr>
        <w:t>Under our Amended Certificate, our board of directors has the authority, without further action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to issue up to 10,000,000 shares of undesignated preferred stock with rights and preferences, including voting rights, designated from time to time by our board of directors. The existence of authorized but unissued shares of preferred stock enables our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directors to make it more difficult to attempt to obtain control of us by means of a merger, tender offer, proxy contest or otherwise.</w:t>
      </w:r>
    </w:p>
    <w:p>
      <w:pPr>
        <w:spacing w:after="0" w:line="248" w:lineRule="exact"/>
        <w:rPr>
          <w:sz w:val="20"/>
          <w:szCs w:val="20"/>
          <w:color w:val="auto"/>
        </w:rPr>
      </w:pPr>
    </w:p>
    <w:p>
      <w:pPr>
        <w:ind w:left="760" w:right="100" w:hanging="378"/>
        <w:spacing w:after="0" w:line="241"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Classified board: </w:t>
      </w:r>
      <w:r>
        <w:rPr>
          <w:rFonts w:ascii="Times New Roman" w:cs="Times New Roman" w:eastAsia="Times New Roman" w:hAnsi="Times New Roman"/>
          <w:sz w:val="18"/>
          <w:szCs w:val="18"/>
          <w:color w:val="auto"/>
        </w:rPr>
        <w:t>Our Amended Certificate establishes a classified board of directors consisting of three classes of directors, with staggered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three-year terms. Only one class of directors will be elected at each annual meeting of our stockholders, with the other classes continuing for the remainder of their respective three-year terms. This provision may have the effect of delaying a change in control of our board of directors.</w:t>
      </w:r>
    </w:p>
    <w:p>
      <w:pPr>
        <w:spacing w:after="0" w:line="221" w:lineRule="exact"/>
        <w:rPr>
          <w:rFonts w:ascii="Times New Roman" w:cs="Times New Roman" w:eastAsia="Times New Roman" w:hAnsi="Times New Roman"/>
          <w:sz w:val="22"/>
          <w:szCs w:val="22"/>
          <w:color w:val="auto"/>
        </w:rPr>
      </w:pPr>
    </w:p>
    <w:p>
      <w:pPr>
        <w:ind w:left="760" w:right="60" w:hanging="378"/>
        <w:spacing w:after="0" w:line="247"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Election and removal of directors and board vacancies: </w:t>
      </w:r>
      <w:r>
        <w:rPr>
          <w:rFonts w:ascii="Times New Roman" w:cs="Times New Roman" w:eastAsia="Times New Roman" w:hAnsi="Times New Roman"/>
          <w:sz w:val="18"/>
          <w:szCs w:val="18"/>
          <w:color w:val="auto"/>
        </w:rPr>
        <w:t>Our Amended Bylaws provide that directors will be elected by a plurality vote.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Amended Certificate and Amended Bylaws also provide that our board of directors has the right to increase or decrease the size of the board and to fill vacancies on the board. Directors may be removed only for cause by the affirmative vote of the holders of at least 66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votes that all our stockholders would be entitled to cast in an annual election of directors. Only our board of directors is authorized to fill vacant directorships. In addition the number of directors constituting our board of directors may be set only by resolution adopted by a majority vote of the directors then in office. These provisions prevent stockholders from increasing the size of our board of directors and gaining control of our board of directors by filling the resulting vacancies with its own nominees.</w:t>
      </w:r>
    </w:p>
    <w:p>
      <w:pPr>
        <w:spacing w:after="0" w:line="216" w:lineRule="exact"/>
        <w:rPr>
          <w:rFonts w:ascii="Times New Roman" w:cs="Times New Roman" w:eastAsia="Times New Roman" w:hAnsi="Times New Roman"/>
          <w:sz w:val="22"/>
          <w:szCs w:val="22"/>
          <w:color w:val="auto"/>
        </w:rPr>
      </w:pPr>
    </w:p>
    <w:p>
      <w:pPr>
        <w:ind w:left="760" w:right="40" w:hanging="378"/>
        <w:spacing w:after="0" w:line="245"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Amended Bylaws establish advance notice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stockholder proposals and the nomination of candidates for election as directors that specify certain requirements as to the timing, form and content of a stockholder’s notice. Business that may be conducted at an annual meeting of stockholders will be limited to those matters properly brought before the meeting. These provisions may make it more difficult for our stockholders to bring matters before our annual meeting of stockholders or to nominate directors at annual meetings of stockholders.</w:t>
      </w:r>
    </w:p>
    <w:p>
      <w:pPr>
        <w:spacing w:after="0" w:line="219" w:lineRule="exact"/>
        <w:rPr>
          <w:rFonts w:ascii="Times New Roman" w:cs="Times New Roman" w:eastAsia="Times New Roman" w:hAnsi="Times New Roman"/>
          <w:sz w:val="22"/>
          <w:szCs w:val="22"/>
          <w:color w:val="auto"/>
        </w:rPr>
      </w:pPr>
    </w:p>
    <w:p>
      <w:pPr>
        <w:ind w:left="760" w:right="180" w:hanging="378"/>
        <w:spacing w:after="0" w:line="244"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No written consent of stockholders: </w:t>
      </w:r>
      <w:r>
        <w:rPr>
          <w:rFonts w:ascii="Times New Roman" w:cs="Times New Roman" w:eastAsia="Times New Roman" w:hAnsi="Times New Roman"/>
          <w:sz w:val="18"/>
          <w:szCs w:val="18"/>
          <w:color w:val="auto"/>
        </w:rPr>
        <w:t>Our Amended Certificate provides that all stockholder actions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 This limit may lengthen the amount of time required to take stockholder actions and would prevent the amendment of our Amended Bylaws or removal of directors by our stockholders without holding a meeting of stockholders</w:t>
      </w:r>
      <w:r>
        <w:rPr>
          <w:rFonts w:ascii="Times New Roman" w:cs="Times New Roman" w:eastAsia="Times New Roman" w:hAnsi="Times New Roman"/>
          <w:sz w:val="18"/>
          <w:szCs w:val="18"/>
          <w:b w:val="1"/>
          <w:bCs w:val="1"/>
          <w:i w:val="1"/>
          <w:iCs w:val="1"/>
          <w:color w:val="auto"/>
        </w:rPr>
        <w:t>.</w:t>
      </w:r>
    </w:p>
    <w:p>
      <w:pPr>
        <w:spacing w:after="0" w:line="218" w:lineRule="exact"/>
        <w:rPr>
          <w:rFonts w:ascii="Times New Roman" w:cs="Times New Roman" w:eastAsia="Times New Roman" w:hAnsi="Times New Roman"/>
          <w:sz w:val="22"/>
          <w:szCs w:val="22"/>
          <w:color w:val="auto"/>
        </w:rPr>
      </w:pPr>
    </w:p>
    <w:p>
      <w:pPr>
        <w:ind w:left="760" w:right="120" w:hanging="378"/>
        <w:spacing w:after="0" w:line="241"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No stockholder ability to call special meetings: </w:t>
      </w:r>
      <w:r>
        <w:rPr>
          <w:rFonts w:ascii="Times New Roman" w:cs="Times New Roman" w:eastAsia="Times New Roman" w:hAnsi="Times New Roman"/>
          <w:sz w:val="18"/>
          <w:szCs w:val="18"/>
          <w:color w:val="auto"/>
        </w:rPr>
        <w:t>Our Amended Certificate and Amended Bylaws provide that only a majority of the members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then in office may be able to call special meetings of stockholders and only those matters set forth in the notice of the special meeting may be considered or acted upon at a special meeting of stockholders.</w:t>
      </w:r>
    </w:p>
    <w:p>
      <w:pPr>
        <w:spacing w:after="0" w:line="221" w:lineRule="exact"/>
        <w:rPr>
          <w:rFonts w:ascii="Times New Roman" w:cs="Times New Roman" w:eastAsia="Times New Roman" w:hAnsi="Times New Roman"/>
          <w:sz w:val="22"/>
          <w:szCs w:val="22"/>
          <w:color w:val="auto"/>
        </w:rPr>
      </w:pPr>
    </w:p>
    <w:p>
      <w:pPr>
        <w:ind w:left="760" w:hanging="378"/>
        <w:spacing w:after="0" w:line="247"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Amendments to certificate of incorporation and bylaws: </w:t>
      </w:r>
      <w:r>
        <w:rPr>
          <w:rFonts w:ascii="Times New Roman" w:cs="Times New Roman" w:eastAsia="Times New Roman" w:hAnsi="Times New Roman"/>
          <w:sz w:val="18"/>
          <w:szCs w:val="18"/>
          <w:color w:val="auto"/>
        </w:rPr>
        <w:t>Any amendment to our Amended Certificate will be required to be approved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majority of our board of directors as well as, if required by law or the Amended Certificate, a majority of the outstanding shares entitled to vote on the amendment and a majority of the outstanding shares of each class entitled to vote thereon as a class, except that the amendment of provisions to board classification, stockholder action, certificate amendments, and liability of directors must be approved by not less than 66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of the outstanding shares entitled to vote on the amendment, voting together as a single class. Any amendment to our Amended Bylaws must be approved by either a majority of our board of directors or not less than 66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outstanding shares entitled to vote on the amendment, voting together as a single class.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provisions are designed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Certificate requires that the Court of Chancery of the State of Delaware be the exclusive forum for the following types of actions or proceedings under Delaware statutory or common law: (1) any derivative action or proceeding brought on our behalf; (2) any action asserting a breach of fiduciary duty owed by any director, officer or other employee to us or our stockholders; (3) any action asserting a claim against us or any director or officer or other employee arising pursuant to the Delaware General Corporation Law, our Amended Certificate or Amended Bylaws; or (4) any action asserting a claim against us or any director or officer or other employee that is governed by the internal affairs doctrine. This provision would not apply to claims brought to enforce a duty or liability created by the Securities Exchange Act of 1934, as amended, or any other claim for which the federal courts have exclusive jurisdiction. Our Amended Certificate provides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Although we believe these provisions benefit us by providing increased consistency in the application of Delaware law for the specified types of actions and proceedings, the provisions may have the effect of discouraging lawsuits against us or our directors or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 serves as the transfer agent and registrar for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“ETNB.”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333-269471, 333-271433, and 333-272144) on Form S-3 and (Nos. 333-235577, 333-237263, 333-254683, 333-263838 and 333-270544) on Form S-8 of our report dated March 1, 2024, with respect to the consolidated financial statements of 89bio, Inc. and the effectiveness of internal control over financial reporting.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Rohan Palekar,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89bio,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Rohan Palekar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Rohan Palekar</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Martins,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89bio,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Ryan Martins</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89bio, Inc. (the “Company”) on Form 10-K for the year ended December 31, 2023,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40" w:val="left"/>
          <w:tab w:leader="none" w:pos="806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Rohan Palekar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Rohan Palekar</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0"/>
        <w:spacing w:after="0"/>
        <w:tabs>
          <w:tab w:leader="none" w:pos="5640" w:val="left"/>
          <w:tab w:leader="none" w:pos="810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Ryan Martins</w:t>
      </w:r>
    </w:p>
    <w:p>
      <w:pPr>
        <w:spacing w:after="0" w:line="2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Note: A signed original of this written statement required by § 906 has been provided to 89bio, Inc. and will be retained by 89bio,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145415</wp:posOffset>
            </wp:positionV>
            <wp:extent cx="1139825" cy="3860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11398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INCENTIVE COMPENSATION CLAWBACK POLICY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of Incentive-Based Compensation</w:t>
      </w:r>
    </w:p>
    <w:p>
      <w:pPr>
        <w:spacing w:after="0" w:line="210" w:lineRule="exact"/>
        <w:rPr>
          <w:sz w:val="20"/>
          <w:szCs w:val="20"/>
          <w:color w:val="auto"/>
        </w:rPr>
      </w:pPr>
    </w:p>
    <w:p>
      <w:pPr>
        <w:jc w:val="both"/>
        <w:ind w:right="160" w:firstLine="747"/>
        <w:spacing w:after="0" w:line="233" w:lineRule="auto"/>
        <w:rPr>
          <w:sz w:val="20"/>
          <w:szCs w:val="20"/>
          <w:color w:val="auto"/>
        </w:rPr>
      </w:pPr>
      <w:r>
        <w:rPr>
          <w:rFonts w:ascii="Times New Roman" w:cs="Times New Roman" w:eastAsia="Times New Roman" w:hAnsi="Times New Roman"/>
          <w:sz w:val="22"/>
          <w:szCs w:val="22"/>
          <w:color w:val="auto"/>
        </w:rPr>
        <w:t>It is the policy of 89bio,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that, in the event the Company is required to prepare an accounting restatement of the Company’s financial statements due to material non- 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(each as defined below). This Incentive Compensation Clawback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has been adopted by the Compensation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effective October 2,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Committee may amend or change the terms of this Policy at any time for any reason, including as required to comply with any laws, rules, regulations and listing standards that may be applicable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 and Definitions</w:t>
      </w:r>
    </w:p>
    <w:p>
      <w:pPr>
        <w:spacing w:after="0" w:line="210" w:lineRule="exact"/>
        <w:rPr>
          <w:sz w:val="20"/>
          <w:szCs w:val="20"/>
          <w:color w:val="auto"/>
        </w:rPr>
      </w:pPr>
    </w:p>
    <w:p>
      <w:pPr>
        <w:jc w:val="both"/>
        <w:ind w:right="160" w:firstLine="747"/>
        <w:spacing w:after="0" w:line="239" w:lineRule="auto"/>
        <w:rPr>
          <w:sz w:val="20"/>
          <w:szCs w:val="20"/>
          <w:color w:val="auto"/>
        </w:rPr>
      </w:pPr>
      <w:r>
        <w:rPr>
          <w:rFonts w:ascii="Times New Roman" w:cs="Times New Roman" w:eastAsia="Times New Roman" w:hAnsi="Times New Roman"/>
          <w:sz w:val="22"/>
          <w:szCs w:val="22"/>
          <w:color w:val="auto"/>
        </w:rPr>
        <w:t>This Policy is administered by the Committee and is intended to comply with, and as applicable to be administered and interpreted consistent with, and subject to the exceptions set forth in, Listing Rule 5608 adopted by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to implement Rule 10D-1 under the Securities Exchange Act of 1934, as amended (collectively, “</w:t>
      </w:r>
      <w:r>
        <w:rPr>
          <w:rFonts w:ascii="Times New Roman" w:cs="Times New Roman" w:eastAsia="Times New Roman" w:hAnsi="Times New Roman"/>
          <w:sz w:val="22"/>
          <w:szCs w:val="22"/>
          <w:u w:val="single" w:color="auto"/>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10D-1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For purposes of this Policy:</w:t>
      </w:r>
    </w:p>
    <w:p>
      <w:pPr>
        <w:spacing w:after="0" w:line="206" w:lineRule="exact"/>
        <w:rPr>
          <w:sz w:val="20"/>
          <w:szCs w:val="20"/>
          <w:color w:val="auto"/>
        </w:rPr>
      </w:pPr>
    </w:p>
    <w:p>
      <w:pPr>
        <w:ind w:left="1120" w:hanging="378"/>
        <w:spacing w:after="0"/>
        <w:tabs>
          <w:tab w:leader="none" w:pos="11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rPr>
        <w:t>” means any “executive officer” of the Company as defined under Rule 10D-1.</w:t>
      </w:r>
    </w:p>
    <w:p>
      <w:pPr>
        <w:spacing w:after="0" w:line="206" w:lineRule="exact"/>
        <w:rPr>
          <w:rFonts w:ascii="Times New Roman" w:cs="Times New Roman" w:eastAsia="Times New Roman" w:hAnsi="Times New Roman"/>
          <w:sz w:val="22"/>
          <w:szCs w:val="22"/>
          <w:color w:val="auto"/>
        </w:rPr>
      </w:pPr>
    </w:p>
    <w:p>
      <w:pPr>
        <w:jc w:val="both"/>
        <w:ind w:left="1120" w:right="160" w:hanging="378"/>
        <w:spacing w:after="0" w:line="239" w:lineRule="auto"/>
        <w:tabs>
          <w:tab w:leader="none" w:pos="11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spacing w:after="0" w:line="180" w:lineRule="exact"/>
        <w:rPr>
          <w:rFonts w:ascii="Times New Roman" w:cs="Times New Roman" w:eastAsia="Times New Roman" w:hAnsi="Times New Roman"/>
          <w:sz w:val="22"/>
          <w:szCs w:val="22"/>
          <w:color w:val="auto"/>
        </w:rPr>
      </w:pPr>
    </w:p>
    <w:p>
      <w:pPr>
        <w:jc w:val="both"/>
        <w:ind w:left="1120" w:right="180" w:hanging="378"/>
        <w:spacing w:after="0" w:line="244" w:lineRule="auto"/>
        <w:tabs>
          <w:tab w:leader="none" w:pos="11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granted, earned or vested based in whole or in part on the Company’s attainment of a Financial Reporting Measure that was Received by a person (i) on or after the Effective Date and after the person began service as a Covered Executive, and (ii) who served as a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603250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93" w:right="339" w:bottom="1440" w:gutter="0" w:footer="0" w:header="0"/>
        </w:sectPr>
      </w:pPr>
    </w:p>
    <w:bookmarkStart w:id="113" w:name="page114"/>
    <w:bookmarkEnd w:id="113"/>
    <w:p>
      <w:pPr>
        <w:ind w:left="1180"/>
        <w:spacing w:after="0"/>
        <w:rPr>
          <w:sz w:val="20"/>
          <w:szCs w:val="20"/>
          <w:color w:val="auto"/>
        </w:rPr>
      </w:pPr>
      <w:r>
        <w:rPr>
          <w:rFonts w:ascii="Times New Roman" w:cs="Times New Roman" w:eastAsia="Times New Roman" w:hAnsi="Times New Roman"/>
          <w:sz w:val="22"/>
          <w:szCs w:val="22"/>
          <w:color w:val="auto"/>
        </w:rPr>
        <w:t>Executive at any time during the performance period for the Incentive-Based Compensation.</w:t>
      </w:r>
    </w:p>
    <w:p>
      <w:pPr>
        <w:spacing w:after="0" w:line="206" w:lineRule="exact"/>
        <w:rPr>
          <w:sz w:val="20"/>
          <w:szCs w:val="20"/>
          <w:color w:val="auto"/>
        </w:rPr>
      </w:pPr>
    </w:p>
    <w:p>
      <w:pPr>
        <w:ind w:left="1180" w:right="20" w:hanging="378"/>
        <w:spacing w:after="0" w:line="258" w:lineRule="auto"/>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to be “</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 the fiscal period during which the relevant Financial Reporting Measure is attained, regardless of when the compensation is actually paid or awarded.</w:t>
      </w:r>
    </w:p>
    <w:p>
      <w:pPr>
        <w:spacing w:after="0" w:line="144" w:lineRule="exact"/>
        <w:rPr>
          <w:rFonts w:ascii="Times New Roman" w:cs="Times New Roman" w:eastAsia="Times New Roman" w:hAnsi="Times New Roman"/>
          <w:sz w:val="22"/>
          <w:szCs w:val="22"/>
          <w:color w:val="auto"/>
        </w:rPr>
      </w:pPr>
    </w:p>
    <w:p>
      <w:pPr>
        <w:jc w:val="both"/>
        <w:ind w:left="1180" w:hanging="378"/>
        <w:spacing w:after="0" w:line="261" w:lineRule="auto"/>
        <w:tabs>
          <w:tab w:leader="none" w:pos="11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means the three completed fiscal years immediately preceding the date that the Company is required to prepare the accounting restatement described in this Policy and any transition period of less than nine months that is within or immediately following such three fiscal years, all as determined pursuant to Rule 10D-1.</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Determination by the Committee</w:t>
      </w:r>
    </w:p>
    <w:p>
      <w:pPr>
        <w:spacing w:after="0" w:line="210" w:lineRule="exact"/>
        <w:rPr>
          <w:sz w:val="20"/>
          <w:szCs w:val="20"/>
          <w:color w:val="auto"/>
        </w:rPr>
      </w:pPr>
    </w:p>
    <w:p>
      <w:pPr>
        <w:jc w:val="both"/>
        <w:ind w:left="60" w:firstLine="747"/>
        <w:spacing w:after="0" w:line="233" w:lineRule="auto"/>
        <w:rPr>
          <w:sz w:val="20"/>
          <w:szCs w:val="20"/>
          <w:color w:val="auto"/>
        </w:rPr>
      </w:pPr>
      <w:r>
        <w:rPr>
          <w:rFonts w:ascii="Times New Roman" w:cs="Times New Roman" w:eastAsia="Times New Roman" w:hAnsi="Times New Roman"/>
          <w:sz w:val="22"/>
          <w:szCs w:val="22"/>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pre-tax basis (i.e., without regard to any taxes paid with respect to such compensation). The Company will maintain and will provide to Nasdaq documentation of all determinations and actions taken in complying with this Policy. Any determinations made by the Committee under this Policy shall be final and binding on all affected individuals.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Methods of Clawback</w:t>
      </w:r>
    </w:p>
    <w:p>
      <w:pPr>
        <w:spacing w:after="0" w:line="210" w:lineRule="exact"/>
        <w:rPr>
          <w:sz w:val="20"/>
          <w:szCs w:val="20"/>
          <w:color w:val="auto"/>
        </w:rPr>
      </w:pPr>
    </w:p>
    <w:p>
      <w:pPr>
        <w:jc w:val="both"/>
        <w:ind w:left="60" w:firstLine="747"/>
        <w:spacing w:after="0" w:line="234" w:lineRule="auto"/>
        <w:rPr>
          <w:sz w:val="20"/>
          <w:szCs w:val="20"/>
          <w:color w:val="auto"/>
        </w:rPr>
      </w:pPr>
      <w:r>
        <w:rPr>
          <w:rFonts w:ascii="Times New Roman" w:cs="Times New Roman" w:eastAsia="Times New Roman" w:hAnsi="Times New Roman"/>
          <w:sz w:val="22"/>
          <w:szCs w:val="22"/>
          <w:color w:val="auto"/>
        </w:rPr>
        <w:t>The Company may effect any recovery pursuant to this Policy in any manner consistent with applicable law, including by requiring payment of such amount(s) to the Company, by set- 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512445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408" w:right="499"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Not Exclusive Remedy</w:t>
      </w:r>
    </w:p>
    <w:p>
      <w:pPr>
        <w:spacing w:after="0" w:line="210" w:lineRule="exact"/>
        <w:rPr>
          <w:sz w:val="20"/>
          <w:szCs w:val="20"/>
          <w:color w:val="auto"/>
        </w:rPr>
      </w:pPr>
    </w:p>
    <w:p>
      <w:pPr>
        <w:jc w:val="both"/>
        <w:ind w:left="60" w:firstLine="747"/>
        <w:spacing w:after="0" w:line="235" w:lineRule="auto"/>
        <w:rPr>
          <w:sz w:val="20"/>
          <w:szCs w:val="20"/>
          <w:color w:val="auto"/>
        </w:rPr>
      </w:pPr>
      <w:r>
        <w:rPr>
          <w:rFonts w:ascii="Times New Roman" w:cs="Times New Roman" w:eastAsia="Times New Roman" w:hAnsi="Times New Roman"/>
          <w:sz w:val="22"/>
          <w:szCs w:val="22"/>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(including, but not limited to, Section 304 of the Sarbanes-Oxley Act of 2002);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 nor will the Company pay or agree to pay any insurance premium to cover any such loss.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jc w:val="both"/>
        <w:ind w:left="60" w:right="20" w:firstLine="747"/>
        <w:spacing w:after="0" w:line="258" w:lineRule="auto"/>
        <w:rPr>
          <w:sz w:val="20"/>
          <w:szCs w:val="20"/>
          <w:color w:val="auto"/>
        </w:rPr>
      </w:pPr>
      <w:r>
        <w:rPr>
          <w:rFonts w:ascii="Times New Roman" w:cs="Times New Roman" w:eastAsia="Times New Roman" w:hAnsi="Times New Roman"/>
          <w:sz w:val="22"/>
          <w:szCs w:val="22"/>
          <w:color w:val="auto"/>
        </w:rPr>
        <w:t>All Covered Executives subject to this Policy will be required to certify their understanding of and intent to comply with this Policy periodically.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512445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404" w:right="499" w:bottom="1440" w:gutter="0" w:footer="0" w:header="0"/>
        </w:sectPr>
      </w:pPr>
    </w:p>
    <w:bookmarkStart w:id="115" w:name="page116"/>
    <w:bookmarkEnd w:id="115"/>
    <w:p>
      <w:pPr>
        <w:ind w:left="2560"/>
        <w:spacing w:after="0"/>
        <w:rPr>
          <w:sz w:val="20"/>
          <w:szCs w:val="20"/>
          <w:color w:val="auto"/>
        </w:rPr>
      </w:pPr>
      <w:r>
        <w:rPr>
          <w:rFonts w:ascii="Times New Roman" w:cs="Times New Roman" w:eastAsia="Times New Roman" w:hAnsi="Times New Roman"/>
          <w:sz w:val="22"/>
          <w:szCs w:val="22"/>
          <w:b w:val="1"/>
          <w:bCs w:val="1"/>
          <w:color w:val="auto"/>
        </w:rPr>
        <w:t>ACKNOWLEDGMENT AND CERTIFICATION</w:t>
      </w:r>
    </w:p>
    <w:p>
      <w:pPr>
        <w:spacing w:after="0" w:line="183" w:lineRule="exact"/>
        <w:rPr>
          <w:sz w:val="20"/>
          <w:szCs w:val="20"/>
          <w:color w:val="auto"/>
        </w:rPr>
      </w:pPr>
    </w:p>
    <w:p>
      <w:pPr>
        <w:jc w:val="both"/>
        <w:ind w:right="40" w:firstLine="747"/>
        <w:spacing w:after="0" w:line="251" w:lineRule="auto"/>
        <w:rPr>
          <w:sz w:val="20"/>
          <w:szCs w:val="20"/>
          <w:color w:val="auto"/>
        </w:rPr>
      </w:pPr>
      <w:r>
        <w:rPr>
          <w:rFonts w:ascii="Times New Roman" w:cs="Times New Roman" w:eastAsia="Times New Roman" w:hAnsi="Times New Roman"/>
          <w:sz w:val="21"/>
          <w:szCs w:val="21"/>
          <w:color w:val="auto"/>
        </w:rPr>
        <w:t>By signing below, the undersigned covered executive (the “</w:t>
      </w:r>
      <w:r>
        <w:rPr>
          <w:rFonts w:ascii="Times New Roman" w:cs="Times New Roman" w:eastAsia="Times New Roman" w:hAnsi="Times New Roman"/>
          <w:sz w:val="21"/>
          <w:szCs w:val="21"/>
          <w:u w:val="single" w:color="auto"/>
          <w:color w:val="auto"/>
        </w:rPr>
        <w:t>Covered Executive</w:t>
      </w:r>
      <w:r>
        <w:rPr>
          <w:rFonts w:ascii="Times New Roman" w:cs="Times New Roman" w:eastAsia="Times New Roman" w:hAnsi="Times New Roman"/>
          <w:sz w:val="21"/>
          <w:szCs w:val="21"/>
          <w:color w:val="auto"/>
        </w:rPr>
        <w:t>”) acknowledges and confirms that the Covered Executive has received and reviewed a copy of the 89bio,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Incentive Compensation Clawback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and in addition, the Covered Executive acknowledges and agrees that, for good and valid consideration, including continuing participation in the Company’s incentive compensation programs, the receipt and sufficiency of which the Covered Executive hereby acknowledges, the Covered Executive will be bound by and abide by the Policy as follows:</w:t>
      </w:r>
    </w:p>
    <w:p>
      <w:pPr>
        <w:spacing w:after="0" w:line="155" w:lineRule="exact"/>
        <w:rPr>
          <w:sz w:val="20"/>
          <w:szCs w:val="20"/>
          <w:color w:val="auto"/>
        </w:rPr>
      </w:pPr>
    </w:p>
    <w:p>
      <w:pPr>
        <w:ind w:left="740" w:right="60" w:hanging="373"/>
        <w:spacing w:after="0" w:line="258" w:lineRule="auto"/>
        <w:tabs>
          <w:tab w:leader="none" w:pos="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Executive is and will continue to be subject to the Policy and the Policy will apply both during and after the Covered Executive’s employment with the Company;</w:t>
      </w:r>
    </w:p>
    <w:p>
      <w:pPr>
        <w:spacing w:after="0" w:line="185" w:lineRule="exact"/>
        <w:rPr>
          <w:rFonts w:ascii="Times New Roman" w:cs="Times New Roman" w:eastAsia="Times New Roman" w:hAnsi="Times New Roman"/>
          <w:sz w:val="22"/>
          <w:szCs w:val="22"/>
          <w:color w:val="auto"/>
        </w:rPr>
      </w:pPr>
    </w:p>
    <w:p>
      <w:pPr>
        <w:ind w:left="740" w:right="60" w:hanging="373"/>
        <w:spacing w:after="0" w:line="258" w:lineRule="auto"/>
        <w:tabs>
          <w:tab w:leader="none" w:pos="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the Policy, the Company hereby amends any employment agreement, equity award agreement or similar agreement that the Covered Executive is a party to with the Company;</w:t>
      </w:r>
    </w:p>
    <w:p>
      <w:pPr>
        <w:spacing w:after="0" w:line="185" w:lineRule="exact"/>
        <w:rPr>
          <w:rFonts w:ascii="Times New Roman" w:cs="Times New Roman" w:eastAsia="Times New Roman" w:hAnsi="Times New Roman"/>
          <w:sz w:val="22"/>
          <w:szCs w:val="22"/>
          <w:color w:val="auto"/>
        </w:rPr>
      </w:pPr>
    </w:p>
    <w:p>
      <w:pPr>
        <w:jc w:val="both"/>
        <w:ind w:left="740" w:right="40" w:hanging="373"/>
        <w:spacing w:after="0" w:line="239" w:lineRule="auto"/>
        <w:tabs>
          <w:tab w:leader="none" w:pos="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Executive shall abide by the terms of the Policy, including, without limitation, by returning any compensation to the Company to the extent required by, and in a manner permitted by, the Policy, and understands and agrees that the Company is not permitted to, and will not, indemnify the Covered Executive for the loss of any compensation that is subject to recovery by the Company;</w:t>
      </w:r>
    </w:p>
    <w:p>
      <w:pPr>
        <w:spacing w:after="0" w:line="207" w:lineRule="exact"/>
        <w:rPr>
          <w:rFonts w:ascii="Times New Roman" w:cs="Times New Roman" w:eastAsia="Times New Roman" w:hAnsi="Times New Roman"/>
          <w:sz w:val="22"/>
          <w:szCs w:val="22"/>
          <w:color w:val="auto"/>
        </w:rPr>
      </w:pPr>
    </w:p>
    <w:p>
      <w:pPr>
        <w:jc w:val="both"/>
        <w:ind w:left="740" w:right="40" w:hanging="373"/>
        <w:spacing w:after="0" w:line="238" w:lineRule="auto"/>
        <w:tabs>
          <w:tab w:leader="none" w:pos="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payable to the Covered Executive shall be subject to the Policy as may be in effect and interpreted or modified from time to time in the sole discretion of the Compensation Committee of the Company’s Board of Directors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or as required by applicable law or the requirements of any securities exchange on which the Company’s securities are listed, and that such interpretation or modification will be covered by this acknowledgment;</w:t>
      </w:r>
    </w:p>
    <w:p>
      <w:pPr>
        <w:spacing w:after="0" w:line="203" w:lineRule="exact"/>
        <w:rPr>
          <w:rFonts w:ascii="Times New Roman" w:cs="Times New Roman" w:eastAsia="Times New Roman" w:hAnsi="Times New Roman"/>
          <w:sz w:val="22"/>
          <w:szCs w:val="22"/>
          <w:color w:val="auto"/>
        </w:rPr>
      </w:pPr>
    </w:p>
    <w:p>
      <w:pPr>
        <w:jc w:val="both"/>
        <w:ind w:left="740" w:hanging="373"/>
        <w:spacing w:after="0" w:line="239" w:lineRule="auto"/>
        <w:tabs>
          <w:tab w:leader="none" w:pos="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recover compensation paid to the Covered Executive through any method of recovery the Committee or its delegate deems appropriate, including without limitation by reducing any amount that is or may become payable to the Covered Executive, and the Covered Executive agrees to comply with any request or demand for repayment by the Company in order to comply with the Policy; and</w:t>
      </w:r>
    </w:p>
    <w:p>
      <w:pPr>
        <w:spacing w:after="0" w:line="207" w:lineRule="exact"/>
        <w:rPr>
          <w:rFonts w:ascii="Times New Roman" w:cs="Times New Roman" w:eastAsia="Times New Roman" w:hAnsi="Times New Roman"/>
          <w:sz w:val="22"/>
          <w:szCs w:val="22"/>
          <w:color w:val="auto"/>
        </w:rPr>
      </w:pPr>
    </w:p>
    <w:p>
      <w:pPr>
        <w:jc w:val="both"/>
        <w:ind w:left="740" w:right="40" w:hanging="373"/>
        <w:spacing w:after="0" w:line="244" w:lineRule="auto"/>
        <w:tabs>
          <w:tab w:leader="none" w:pos="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responsible for and shall not make the Covered Executive whole for any effect under any tax law or regulation of the recovery of any compensation pursuant to the Policy, or for any taxes paid by the Covered Executive on compensation that is subject to recovery or is recovered pursuant to the Policy.</w:t>
      </w:r>
    </w:p>
    <w:p>
      <w:pPr>
        <w:spacing w:after="0" w:line="200" w:lineRule="exact"/>
        <w:rPr>
          <w:sz w:val="20"/>
          <w:szCs w:val="20"/>
          <w:color w:val="auto"/>
        </w:rPr>
      </w:pPr>
    </w:p>
    <w:p>
      <w:pPr>
        <w:spacing w:after="0" w:line="2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Signature</w:t>
      </w:r>
    </w:p>
    <w:p>
      <w:pPr>
        <w:spacing w:after="0" w:line="35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Print Name</w:t>
      </w:r>
    </w:p>
    <w:p>
      <w:pPr>
        <w:spacing w:after="0" w:line="34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786765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4" w:right="45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4"/>
      <w:numFmt w:val="bullet"/>
      <w:start w:val="1"/>
    </w:lvl>
  </w:abstractNum>
  <w:abstractNum w:abstractNumId="7">
    <w:nsid w:val="2443A858"/>
    <w:multiLevelType w:val="hybridMultilevel"/>
    <w:lvl w:ilvl="0">
      <w:lvlJc w:val="left"/>
      <w:lvlText w:val="1"/>
      <w:numFmt w:val="bullet"/>
      <w:start w:val="1"/>
    </w:lvl>
  </w:abstractNum>
  <w:abstractNum w:abstractNumId="8">
    <w:nsid w:val="2D1D5AE9"/>
    <w:multiLevelType w:val="hybridMultilevel"/>
    <w:lvl w:ilvl="0">
      <w:lvlJc w:val="left"/>
      <w:lvlText w:val="1"/>
      <w:numFmt w:val="bullet"/>
      <w:start w:val="1"/>
    </w:lvl>
  </w:abstractNum>
  <w:abstractNum w:abstractNumId="9">
    <w:nsid w:val="6763845E"/>
    <w:multiLevelType w:val="hybridMultilevel"/>
    <w:lvl w:ilvl="0">
      <w:lvlJc w:val="left"/>
      <w:lvlText w:val="•"/>
      <w:numFmt w:val="bullet"/>
      <w:start w:val="1"/>
    </w:lvl>
    <w:lvl w:ilvl="1">
      <w:lvlJc w:val="left"/>
      <w:lvlText w:val="•"/>
      <w:numFmt w:val="bullet"/>
      <w:start w:val="1"/>
    </w:lvl>
  </w:abstractNum>
  <w:abstractNum w:abstractNumId="10">
    <w:nsid w:val="75A2A8D4"/>
    <w:multiLevelType w:val="hybridMultilevel"/>
    <w:lvl w:ilvl="0">
      <w:lvlJc w:val="left"/>
      <w:lvlText w:val="•"/>
      <w:numFmt w:val="bullet"/>
      <w:start w:val="1"/>
    </w:lvl>
    <w:lvl w:ilvl="1">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lowerRoman"/>
      <w:start w:val="3"/>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lowerRoman"/>
      <w:start w:val="3"/>
    </w:lvl>
  </w:abstractNum>
  <w:abstractNum w:abstractNumId="22">
    <w:nsid w:val="8138641"/>
    <w:multiLevelType w:val="hybridMultilevel"/>
    <w:lvl w:ilvl="0">
      <w:lvlJc w:val="left"/>
      <w:lvlText w:val="%1."/>
      <w:numFmt w:val="decimal"/>
      <w:start w:val="174"/>
    </w:lvl>
  </w:abstractNum>
  <w:abstractNum w:abstractNumId="23">
    <w:nsid w:val="1E7FF521"/>
    <w:multiLevelType w:val="hybridMultilevel"/>
    <w:lvl w:ilvl="0">
      <w:lvlJc w:val="left"/>
      <w:lvlText w:val="%1."/>
      <w:numFmt w:val="decimal"/>
      <w:start w:val="10"/>
    </w:lvl>
    <w:lvl w:ilvl="1">
      <w:lvlJc w:val="left"/>
      <w:lvlText w:val="1"/>
      <w:numFmt w:val="bullet"/>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2"/>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jpe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29" Type="http://schemas.openxmlformats.org/officeDocument/2006/relationships/hyperlink" Target="https://www.sec.gov/Archives/edgar/data/0001785173/000119312519266760/d743471dex21.htm" TargetMode="External"/><Relationship Id="rId330" Type="http://schemas.openxmlformats.org/officeDocument/2006/relationships/hyperlink" Target="https://www.sec.gov/Archives/edgar/data/0001785173/000119312519292680/d829788dex31.htm" TargetMode="External"/><Relationship Id="rId331" Type="http://schemas.openxmlformats.org/officeDocument/2006/relationships/hyperlink" Target="https://www.sec.gov/Archives/edgar/data/1785173/000119312523164489/d585312dex31.htm" TargetMode="External"/><Relationship Id="rId332" Type="http://schemas.openxmlformats.org/officeDocument/2006/relationships/hyperlink" Target="https://www.sec.gov/Archives/edgar/data/1785173/000119312523277141/d281066dex31.htm" TargetMode="External"/><Relationship Id="rId333" Type="http://schemas.openxmlformats.org/officeDocument/2006/relationships/hyperlink" Target="https://www.sec.gov/Archives/edgar/data/0001785173/000119312519275407/d743471dex41.htm" TargetMode="External"/><Relationship Id="rId334" Type="http://schemas.openxmlformats.org/officeDocument/2006/relationships/hyperlink" Target="https://www.sec.gov/Archives/edgar/data/1785173/000119312520104858/d912211dex41.htm" TargetMode="External"/><Relationship Id="rId335" Type="http://schemas.openxmlformats.org/officeDocument/2006/relationships/hyperlink" Target="https://www.sec.gov/Archives/edgar/data/0001785173/000119312521182891/d127486dex41.htm" TargetMode="External"/><Relationship Id="rId336" Type="http://schemas.openxmlformats.org/officeDocument/2006/relationships/hyperlink" Target="https://www.sec.gov/Archives/edgar/data/1785173/000119312522186433/d376547dex41.htm" TargetMode="External"/><Relationship Id="rId337" Type="http://schemas.openxmlformats.org/officeDocument/2006/relationships/hyperlink" Target="https://www.sec.gov/Archives/edgar/data/1785173/000119312522186433/d376547dex42.htm" TargetMode="External"/><Relationship Id="rId338" Type="http://schemas.openxmlformats.org/officeDocument/2006/relationships/hyperlink" Target="https://www.sec.gov/Archives/edgar/data/1785173/000119312523022818/d650071dex41.htm" TargetMode="External"/><Relationship Id="rId339" Type="http://schemas.openxmlformats.org/officeDocument/2006/relationships/hyperlink" Target="https://www.sec.gov/Archives/edgar/data/1785173/000119312523291747/d636644dex41.htm" TargetMode="External"/><Relationship Id="rId340" Type="http://schemas.openxmlformats.org/officeDocument/2006/relationships/hyperlink" Target="https://www.sec.gov/Archives/edgar/data/1785173/000119312521093314/d150630dex12.htm" TargetMode="External"/><Relationship Id="rId341" Type="http://schemas.openxmlformats.org/officeDocument/2006/relationships/hyperlink" Target="https://www.sec.gov/Archives/edgar/data/1785173/000119312523040497/d422452dex12.htm" TargetMode="External"/><Relationship Id="rId342" Type="http://schemas.openxmlformats.org/officeDocument/2006/relationships/hyperlink" Target="https://www.sec.gov/Archives/edgar/data/1785173/000119312519266760/d743471dex101.htm" TargetMode="External"/><Relationship Id="rId343" Type="http://schemas.openxmlformats.org/officeDocument/2006/relationships/hyperlink" Target="https://www.sec.gov/Archives/edgar/data/0001785173/000119312519275407/d743471dex102.htm" TargetMode="External"/><Relationship Id="rId344" Type="http://schemas.openxmlformats.org/officeDocument/2006/relationships/hyperlink" Target="https://www.sec.gov/Archives/edgar/data/1785173/000119312519275407/d743471dex103.htm" TargetMode="External"/><Relationship Id="rId345" Type="http://schemas.openxmlformats.org/officeDocument/2006/relationships/hyperlink" Target="https://www.sec.gov/Archives/edgar/data/1785173/000119312523070647/d446105dex993.htm" TargetMode="External"/><Relationship Id="rId346" Type="http://schemas.openxmlformats.org/officeDocument/2006/relationships/hyperlink" Target="https://www.sec.gov/Archives/edgar/data/1785173/000119312520132419/d898684dex101.htm" TargetMode="External"/><Relationship Id="rId349" Type="http://schemas.openxmlformats.org/officeDocument/2006/relationships/hyperlink" Target="https://www.sec.gov/Archives/edgar/data/1785173/000119312520132419/d898684dex103.htm" TargetMode="External"/><Relationship Id="rId350" Type="http://schemas.openxmlformats.org/officeDocument/2006/relationships/hyperlink" Target="https://www.sec.gov/Archives/edgar/data/1785173/000119312520132419/d898684dex104.htm" TargetMode="External"/><Relationship Id="rId351" Type="http://schemas.openxmlformats.org/officeDocument/2006/relationships/hyperlink" Target="https://www.sec.gov/Archives/edgar/data/1785173/000119312520132419/d898684dex102.htm" TargetMode="External"/><Relationship Id="rId352" Type="http://schemas.openxmlformats.org/officeDocument/2006/relationships/hyperlink" Target="https://www.sec.gov/Archives/edgar/data/1785173/000119312519266760/d743471dex109.htm" TargetMode="External"/><Relationship Id="rId353" Type="http://schemas.openxmlformats.org/officeDocument/2006/relationships/hyperlink" Target="https://www.sec.gov/Archives/edgar/data/1785173/000119312519266760/d743471dex1011.htm" TargetMode="External"/><Relationship Id="rId354" Type="http://schemas.openxmlformats.org/officeDocument/2006/relationships/hyperlink" Target="https://www.sec.gov/Archives/edgar/data/1785173/000119312519266760/d743471dex1013.htm" TargetMode="External"/><Relationship Id="rId355" Type="http://schemas.openxmlformats.org/officeDocument/2006/relationships/hyperlink" Target="https://www.sec.gov/Archives/edgar/data/1785173/000119312519266760/d743471dex1014.htm" TargetMode="External"/><Relationship Id="rId356" Type="http://schemas.openxmlformats.org/officeDocument/2006/relationships/hyperlink" Target="https://www.sec.gov/Archives/edgar/data/1785173/000095017023018435/etnb-ex10_4.htm" TargetMode="External"/><Relationship Id="rId357" Type="http://schemas.openxmlformats.org/officeDocument/2006/relationships/hyperlink" Target="https://www.sec.gov/Archives/edgar/data/1785173/000156459020011636/etnb-ex1015_527.htm" TargetMode="External"/><Relationship Id="rId358" Type="http://schemas.openxmlformats.org/officeDocument/2006/relationships/hyperlink" Target="https://www.sec.gov/Archives/edgar/data/1785173/000156459021056616/etnb-ex101_191.htm" TargetMode="External"/><Relationship Id="rId359" Type="http://schemas.openxmlformats.org/officeDocument/2006/relationships/hyperlink" Target="https://www.sec.gov/Archives/edgar/data/1785173/000156459022037425/etnb-ex101_12.htm" TargetMode="External"/><Relationship Id="rId360" Type="http://schemas.openxmlformats.org/officeDocument/2006/relationships/hyperlink" Target="https://www.sec.gov/Archives/edgar/data/1785173/000119312523003660/d445245dex101.htm" TargetMode="External"/><Relationship Id="rId361" Type="http://schemas.openxmlformats.org/officeDocument/2006/relationships/hyperlink" Target="https://www.sec.gov/Archives/edgar/data/1785173/000119312519266760/d74347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2024-03-01T16:09:53Z</dcterms:created>
  <dcterms:modified xsi:type="dcterms:W3CDTF">2024-03-01T16:09:53Z</dcterms:modified>
</cp:coreProperties>
</file>