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282559103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89bio,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179"/>
        <w:spacing w:after="0"/>
        <w:rPr>
          <w:sz w:val="20"/>
          <w:szCs w:val="20"/>
          <w:color w:val="auto"/>
        </w:rPr>
      </w:pPr>
      <w:r>
        <w:rPr>
          <w:rFonts w:ascii="Times New Roman" w:cs="Times New Roman" w:eastAsia="Times New Roman" w:hAnsi="Times New Roman"/>
          <w:sz w:val="22"/>
          <w:szCs w:val="22"/>
          <w:color w:val="auto"/>
        </w:rPr>
        <w:t>655 Montgomery Street, Suite 1500, San Francisco, California 94111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86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68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282559103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1040"/>
          </w:cols>
          <w:pgMar w:left="360" w:top="112" w:right="499" w:bottom="0" w:gutter="0" w:footer="0" w:header="0"/>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December 31, 2025, is incorporated by reference to items (5) - (9) and (11) of the cover page of the respective Reporting Person. The amount beneficially owned by each Reporting Person is determined based on 148,308,250 Common Stock outstanding as of July 31, 2025, according to the issuer's 10-Q filed with the SEC on August 8, 2025.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February 13, 2026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2026-02-13T07:46:00Z</dcterms:created>
  <dcterms:modified xsi:type="dcterms:W3CDTF">2026-02-13T07:46:00Z</dcterms:modified>
</cp:coreProperties>
</file>