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282559103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Robert Atchinson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Adage Capital Partners GP, L.L.C., 200 Clarendon Street, 52nd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617-867-2800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655 MONTGOMERY STREET, SUITE 1500, SAN FRANCISCO, CALIFORNIA , 94111.</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("Amendment No. 1") amends the statement on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(the "SEC") on October 3, 2025 (the "Schedule 13D") relates to the shares of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par value $0.001 per share (the "Common Stock"), of 89bio, Inc., a Delaware corporation (the "Issuer"). This Amendment No. 1 amends and restates Item 5 as set forth below. Capitalized terms used herein and not otherwise defined in this Amendment No. 1 have the meanings set forth in the Schedule 13D. This Amendment No. 1 is the</w:t>
      </w:r>
    </w:p>
    <w:p>
      <w:pPr>
        <w:spacing w:after="0" w:line="1" w:lineRule="exact"/>
        <w:rPr>
          <w:sz w:val="20"/>
          <w:szCs w:val="20"/>
          <w:color w:val="auto"/>
        </w:rPr>
      </w:pPr>
    </w:p>
    <w:p>
      <w:pPr>
        <w:ind w:right="1920" w:firstLine="952"/>
        <w:spacing w:after="0" w:line="263" w:lineRule="auto"/>
        <w:rPr>
          <w:sz w:val="20"/>
          <w:szCs w:val="20"/>
          <w:color w:val="auto"/>
        </w:rPr>
      </w:pPr>
      <w:r>
        <w:rPr>
          <w:rFonts w:ascii="Times New Roman" w:cs="Times New Roman" w:eastAsia="Times New Roman" w:hAnsi="Times New Roman"/>
          <w:sz w:val="22"/>
          <w:szCs w:val="22"/>
          <w:color w:val="auto"/>
        </w:rPr>
        <w:t>final amendment to the Schedule 13D and constitutes an "exit filing" for the Reporting Persons. Item 5. Interest in Securities of the Issuer</w:t>
      </w:r>
    </w:p>
    <w:p>
      <w:pPr>
        <w:spacing w:after="0" w:line="16" w:lineRule="exact"/>
        <w:rPr>
          <w:sz w:val="20"/>
          <w:szCs w:val="20"/>
          <w:color w:val="auto"/>
        </w:rPr>
      </w:pPr>
    </w:p>
    <w:p>
      <w:pPr>
        <w:ind w:left="920" w:right="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(11) and (13) of the cover pages to this Schedule 13D for the aggregate number of shares of Common Stock and percentages of the shares of Common Stock beneficially owned by each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39"/>
          <w:szCs w:val="39"/>
          <w:color w:val="auto"/>
          <w:vertAlign w:val="subscript"/>
        </w:rPr>
      </w:pPr>
    </w:p>
    <w:p>
      <w:pPr>
        <w:ind w:left="920" w:right="5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right="1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transactions in the shares of Common Stock since the filing of the Schedule 13D by the Reporting Persons, which were all in the open market, are set forth in Schedule A, and are incorporated herein by reference. In addition,</w:t>
      </w:r>
    </w:p>
    <w:p>
      <w:pPr>
        <w:ind w:left="920" w:right="1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October 29, 2025, the Reporting Persons tendered all of their 13,097,587 shares of Common Stock into the tender offer pursuant to the Merger Agreement at an offer price of (i) $14.50 per share in cash, and (ii) one non-tradeable contingent value right per share, all as described in the Company's SEC filings.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October 29,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p>
      <w:pPr>
        <w:sectPr>
          <w:pgSz w:w="11900" w:h="16838" w:orient="portrait"/>
          <w:cols w:equalWidth="0" w:num="1">
            <w:col w:w="11160"/>
          </w:cols>
          <w:pgMar w:left="360" w:top="112" w:right="379" w:bottom="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22"/>
          <w:szCs w:val="22"/>
          <w:color w:val="auto"/>
        </w:rPr>
        <w:t>Phillip Gross</w:t>
      </w:r>
    </w:p>
    <w:p>
      <w:pPr>
        <w:spacing w:after="0" w:line="153"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p>
      <w:pPr>
        <w:sectPr>
          <w:pgSz w:w="11900" w:h="16838" w:orient="portrait"/>
          <w:cols w:equalWidth="0" w:num="1">
            <w:col w:w="9019"/>
          </w:cols>
          <w:pgMar w:left="1440" w:top="112"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This Schedule sets forth information with respect to each purchase and sale of shares of Common Stock which were effectuated by the Reporting Persons since filing of the Schedule 13D. All transactions were effectuated in the open market through a broker. The price reported in the column Price Per Share ($) is a weighted average price if a price range is indicated in the column Price Range ($). These shares of Common Stock were purchased or sold in multiple transactions at prices between the price ranges below. The Reporting Persons will undertake to provide to the staff of the SEC, upon request, full information regarding the number of shares of Common Stock purchased or sold at each separate price.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w w:val="96"/>
              </w:rPr>
              <w:t>Trade Date</w:t>
            </w:r>
          </w:p>
        </w:tc>
        <w:tc>
          <w:tcPr>
            <w:tcW w:w="164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Purchased (Sold)</w:t>
            </w:r>
          </w:p>
        </w:tc>
        <w:tc>
          <w:tcPr>
            <w:tcW w:w="2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Price Per Share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p>
        </w:tc>
        <w:tc>
          <w:tcPr>
            <w:tcW w:w="56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 xml:space="preserve">Price Range </w:t>
            </w: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w:t>
            </w:r>
          </w:p>
        </w:tc>
      </w:tr>
      <w:tr>
        <w:trPr>
          <w:trHeight w:val="20"/>
        </w:trPr>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25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10/27/2025</w:t>
            </w:r>
          </w:p>
        </w:tc>
        <w:tc>
          <w:tcPr>
            <w:tcW w:w="1920" w:type="dxa"/>
            <w:vAlign w:val="bottom"/>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rPr>
              <w:t>90,268</w:t>
            </w:r>
          </w:p>
        </w:tc>
        <w:tc>
          <w:tcPr>
            <w:tcW w:w="940" w:type="dxa"/>
            <w:vAlign w:val="bottom"/>
          </w:tcPr>
          <w:p>
            <w:pPr>
              <w:spacing w:after="0"/>
              <w:rPr>
                <w:sz w:val="19"/>
                <w:szCs w:val="19"/>
                <w:color w:val="auto"/>
              </w:rPr>
            </w:pPr>
          </w:p>
        </w:tc>
        <w:tc>
          <w:tcPr>
            <w:tcW w:w="1600" w:type="dxa"/>
            <w:vAlign w:val="bottom"/>
          </w:tcPr>
          <w:p>
            <w:pPr>
              <w:jc w:val="right"/>
              <w:ind w:right="321"/>
              <w:spacing w:after="0" w:line="228" w:lineRule="exact"/>
              <w:rPr>
                <w:sz w:val="20"/>
                <w:szCs w:val="20"/>
                <w:color w:val="auto"/>
              </w:rPr>
            </w:pPr>
            <w:r>
              <w:rPr>
                <w:rFonts w:ascii="Times New Roman" w:cs="Times New Roman" w:eastAsia="Times New Roman" w:hAnsi="Times New Roman"/>
                <w:sz w:val="20"/>
                <w:szCs w:val="20"/>
                <w:color w:val="auto"/>
              </w:rPr>
              <w:t>14.8150</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10/27/2025</w:t>
            </w:r>
          </w:p>
        </w:tc>
        <w:tc>
          <w:tcPr>
            <w:tcW w:w="19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537,861</w:t>
            </w:r>
          </w:p>
        </w:tc>
        <w:tc>
          <w:tcPr>
            <w:tcW w:w="940" w:type="dxa"/>
            <w:vAlign w:val="bottom"/>
          </w:tcPr>
          <w:p>
            <w:pPr>
              <w:spacing w:after="0"/>
              <w:rPr>
                <w:sz w:val="19"/>
                <w:szCs w:val="19"/>
                <w:color w:val="auto"/>
              </w:rPr>
            </w:pPr>
          </w:p>
        </w:tc>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14.8190</w:t>
            </w:r>
          </w:p>
        </w:tc>
        <w:tc>
          <w:tcPr>
            <w:tcW w:w="540" w:type="dxa"/>
            <w:vAlign w:val="bottom"/>
          </w:tcPr>
          <w:p>
            <w:pPr>
              <w:spacing w:after="0"/>
              <w:rPr>
                <w:sz w:val="19"/>
                <w:szCs w:val="19"/>
                <w:color w:val="auto"/>
              </w:rPr>
            </w:pPr>
          </w:p>
        </w:tc>
        <w:tc>
          <w:tcPr>
            <w:tcW w:w="19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w w:val="98"/>
              </w:rPr>
              <w:t>14.8125-14.8200</w:t>
            </w: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10/28/2025</w:t>
            </w:r>
          </w:p>
        </w:tc>
        <w:tc>
          <w:tcPr>
            <w:tcW w:w="19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470,874</w:t>
            </w:r>
          </w:p>
        </w:tc>
        <w:tc>
          <w:tcPr>
            <w:tcW w:w="940" w:type="dxa"/>
            <w:vAlign w:val="bottom"/>
          </w:tcPr>
          <w:p>
            <w:pPr>
              <w:spacing w:after="0"/>
              <w:rPr>
                <w:sz w:val="19"/>
                <w:szCs w:val="19"/>
                <w:color w:val="auto"/>
              </w:rPr>
            </w:pPr>
          </w:p>
        </w:tc>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14.8300</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10/28/2025</w:t>
            </w:r>
          </w:p>
        </w:tc>
        <w:tc>
          <w:tcPr>
            <w:tcW w:w="19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194,184</w:t>
            </w:r>
          </w:p>
        </w:tc>
        <w:tc>
          <w:tcPr>
            <w:tcW w:w="940" w:type="dxa"/>
            <w:vAlign w:val="bottom"/>
          </w:tcPr>
          <w:p>
            <w:pPr>
              <w:spacing w:after="0"/>
              <w:rPr>
                <w:sz w:val="19"/>
                <w:szCs w:val="19"/>
                <w:color w:val="auto"/>
              </w:rPr>
            </w:pPr>
          </w:p>
        </w:tc>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14.8200</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10/29/2025</w:t>
            </w:r>
          </w:p>
        </w:tc>
        <w:tc>
          <w:tcPr>
            <w:tcW w:w="19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1,815,977</w:t>
            </w:r>
          </w:p>
        </w:tc>
        <w:tc>
          <w:tcPr>
            <w:tcW w:w="940" w:type="dxa"/>
            <w:vAlign w:val="bottom"/>
          </w:tcPr>
          <w:p>
            <w:pPr>
              <w:spacing w:after="0"/>
              <w:rPr>
                <w:sz w:val="19"/>
                <w:szCs w:val="19"/>
                <w:color w:val="auto"/>
              </w:rPr>
            </w:pPr>
          </w:p>
        </w:tc>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14.8400</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10/29/2025</w:t>
            </w:r>
          </w:p>
        </w:tc>
        <w:tc>
          <w:tcPr>
            <w:tcW w:w="19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890,836</w:t>
            </w:r>
          </w:p>
        </w:tc>
        <w:tc>
          <w:tcPr>
            <w:tcW w:w="940" w:type="dxa"/>
            <w:vAlign w:val="bottom"/>
          </w:tcPr>
          <w:p>
            <w:pPr>
              <w:spacing w:after="0"/>
              <w:rPr>
                <w:sz w:val="22"/>
                <w:szCs w:val="22"/>
                <w:color w:val="auto"/>
              </w:rPr>
            </w:pPr>
          </w:p>
        </w:tc>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14.8285</w:t>
            </w:r>
          </w:p>
        </w:tc>
        <w:tc>
          <w:tcPr>
            <w:tcW w:w="540" w:type="dxa"/>
            <w:vAlign w:val="bottom"/>
          </w:tcPr>
          <w:p>
            <w:pPr>
              <w:spacing w:after="0"/>
              <w:rPr>
                <w:sz w:val="22"/>
                <w:szCs w:val="22"/>
                <w:color w:val="auto"/>
              </w:rPr>
            </w:pPr>
          </w:p>
        </w:tc>
        <w:tc>
          <w:tcPr>
            <w:tcW w:w="19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w w:val="98"/>
              </w:rPr>
              <w:t>14.8250-14.8300</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*Excluding commissions.</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2025-10-31T09:51:24Z</dcterms:created>
  <dcterms:modified xsi:type="dcterms:W3CDTF">2025-10-31T09:51:24Z</dcterms:modified>
</cp:coreProperties>
</file>