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89bio,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282559103</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November 13, 2019</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 w:name="page2"/>
    <w:bookmarkEnd w:id="1"/>
    <w:p>
      <w:pPr>
        <w:ind w:left="52"/>
        <w:spacing w:after="0"/>
        <w:rPr>
          <w:sz w:val="20"/>
          <w:szCs w:val="20"/>
          <w:color w:val="auto"/>
        </w:rPr>
      </w:pPr>
      <w:r>
        <w:rPr>
          <w:rFonts w:ascii="Arial" w:cs="Arial" w:eastAsia="Arial" w:hAnsi="Arial"/>
          <w:sz w:val="18"/>
          <w:szCs w:val="18"/>
          <w:color w:val="auto"/>
        </w:rPr>
        <w:t>CUSIP No. 282559103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hanging="620"/>
        <w:spacing w:after="0"/>
        <w:tabs>
          <w:tab w:leader="none" w:pos="1052"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Venrock Healthcare Capital Partners II, L.P.</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2"/>
        </w:numPr>
        <w:rPr>
          <w:rFonts w:ascii="Arial" w:cs="Arial" w:eastAsia="Arial" w:hAnsi="Arial"/>
          <w:sz w:val="18"/>
          <w:szCs w:val="18"/>
          <w:color w:val="auto"/>
        </w:rPr>
      </w:pPr>
      <w:r>
        <w:rPr>
          <w:rFonts w:ascii="Arial" w:cs="Arial" w:eastAsia="Arial" w:hAnsi="Arial"/>
          <w:sz w:val="18"/>
          <w:szCs w:val="18"/>
          <w:color w:val="auto"/>
        </w:rPr>
        <w:t>x(1)</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560" w:hanging="620"/>
        <w:spacing w:after="0" w:line="277" w:lineRule="auto"/>
        <w:tabs>
          <w:tab w:leader="none" w:pos="1052"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-534035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-945515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-1159510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-1777365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32"/>
          </w:cols>
          <w:pgMar w:left="248" w:top="395" w:right="419" w:bottom="1440" w:gutter="0" w:footer="0" w:header="0"/>
        </w:sectPr>
      </w:pPr>
    </w:p>
    <w:p>
      <w:pPr>
        <w:spacing w:after="0" w:line="400"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1,000,000(2)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480"/>
          </w:cols>
          <w:pgMar w:left="248" w:top="395" w:right="419" w:bottom="1440" w:gutter="0" w:footer="0" w:header="0"/>
          <w:type w:val="continuous"/>
        </w:sectPr>
      </w:pPr>
    </w:p>
    <w:p>
      <w:pPr>
        <w:spacing w:after="0" w:line="227" w:lineRule="exact"/>
        <w:rPr>
          <w:sz w:val="20"/>
          <w:szCs w:val="20"/>
          <w:color w:val="auto"/>
        </w:rPr>
      </w:pPr>
    </w:p>
    <w:p>
      <w:pPr>
        <w:ind w:left="1052" w:right="5380" w:hanging="620"/>
        <w:spacing w:after="0" w:line="277" w:lineRule="auto"/>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1,000,000(2)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7.3%(3)</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32" w:hanging="332"/>
        <w:spacing w:after="0" w:line="264" w:lineRule="auto"/>
        <w:tabs>
          <w:tab w:leader="none" w:pos="339" w:val="left"/>
        </w:tabs>
        <w:numPr>
          <w:ilvl w:val="0"/>
          <w:numId w:val="4"/>
        </w:numPr>
        <w:rPr>
          <w:rFonts w:ascii="Arial" w:cs="Arial" w:eastAsia="Arial" w:hAnsi="Arial"/>
          <w:sz w:val="18"/>
          <w:szCs w:val="18"/>
          <w:color w:val="auto"/>
        </w:rPr>
      </w:pPr>
      <w:r>
        <w:rPr>
          <w:rFonts w:ascii="Arial" w:cs="Arial" w:eastAsia="Arial" w:hAnsi="Arial"/>
          <w:sz w:val="18"/>
          <w:szCs w:val="18"/>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w:t>
      </w:r>
    </w:p>
    <w:p>
      <w:pPr>
        <w:spacing w:after="0" w:line="181" w:lineRule="exact"/>
        <w:rPr>
          <w:rFonts w:ascii="Arial" w:cs="Arial" w:eastAsia="Arial" w:hAnsi="Arial"/>
          <w:sz w:val="18"/>
          <w:szCs w:val="18"/>
          <w:color w:val="auto"/>
        </w:rPr>
      </w:pPr>
    </w:p>
    <w:p>
      <w:pPr>
        <w:ind w:left="332" w:right="300" w:hanging="332"/>
        <w:spacing w:after="0" w:line="342" w:lineRule="auto"/>
        <w:tabs>
          <w:tab w:leader="none" w:pos="339"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29,339 shares owned by Venrock Healthcare Capital Partners II, L.P., 11,896 shares owned by VHCP Co-Investment Holdings II, LLC, 871,613 shares owned by Venrock Healthcare Capital Partners III, L.P. and 87,152 shares owned by VHCP Co-Investment Holdings III, LLC.</w:t>
      </w:r>
    </w:p>
    <w:p>
      <w:pPr>
        <w:spacing w:after="0" w:line="123" w:lineRule="exact"/>
        <w:rPr>
          <w:rFonts w:ascii="Arial" w:cs="Arial" w:eastAsia="Arial" w:hAnsi="Arial"/>
          <w:sz w:val="16"/>
          <w:szCs w:val="16"/>
          <w:color w:val="auto"/>
        </w:rPr>
      </w:pPr>
    </w:p>
    <w:p>
      <w:pPr>
        <w:ind w:left="332" w:right="40" w:hanging="332"/>
        <w:spacing w:after="0" w:line="308" w:lineRule="auto"/>
        <w:tabs>
          <w:tab w:leader="none" w:pos="339"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This percentage is calculated based upon 13,788,982 shares of the Issuer’s common stock outstanding after the completion of the Issuer’s initial public offering, as reported in the Issuer’s final prospectus filed with the Securities and Exchange Commission on November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-1560830</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-2109470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-2658745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-3070225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-1346835</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27"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32"/>
          </w:cols>
          <w:pgMar w:left="248" w:top="395" w:right="419" w:bottom="1440" w:gutter="0" w:footer="0" w:header="0"/>
          <w:type w:val="continuous"/>
        </w:sectPr>
      </w:pPr>
    </w:p>
    <w:bookmarkStart w:id="2" w:name="page3"/>
    <w:bookmarkEnd w:id="2"/>
    <w:p>
      <w:pPr>
        <w:ind w:left="52"/>
        <w:spacing w:after="0"/>
        <w:rPr>
          <w:sz w:val="20"/>
          <w:szCs w:val="20"/>
          <w:color w:val="auto"/>
        </w:rPr>
      </w:pPr>
      <w:r>
        <w:rPr>
          <w:rFonts w:ascii="Arial" w:cs="Arial" w:eastAsia="Arial" w:hAnsi="Arial"/>
          <w:sz w:val="18"/>
          <w:szCs w:val="18"/>
          <w:color w:val="auto"/>
        </w:rPr>
        <w:t>CUSIP No. 282559103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hanging="620"/>
        <w:spacing w:after="0"/>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VHCP Co-Investment Holdings II, LLC</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5"/>
        </w:numPr>
        <w:rPr>
          <w:rFonts w:ascii="Arial" w:cs="Arial" w:eastAsia="Arial" w:hAnsi="Arial"/>
          <w:sz w:val="18"/>
          <w:szCs w:val="18"/>
          <w:color w:val="auto"/>
        </w:rPr>
      </w:pPr>
      <w:r>
        <w:rPr>
          <w:rFonts w:ascii="Arial" w:cs="Arial" w:eastAsia="Arial" w:hAnsi="Arial"/>
          <w:sz w:val="18"/>
          <w:szCs w:val="18"/>
          <w:color w:val="auto"/>
        </w:rPr>
        <w:t>x(1)</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560" w:hanging="620"/>
        <w:spacing w:after="0" w:line="277" w:lineRule="auto"/>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-534035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-945515</wp:posOffset>
            </wp:positionV>
            <wp:extent cx="58743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-1159510</wp:posOffset>
            </wp:positionV>
            <wp:extent cx="58743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-1777365</wp:posOffset>
            </wp:positionV>
            <wp:extent cx="6612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32"/>
          </w:cols>
          <w:pgMar w:left="248" w:top="395" w:right="419" w:bottom="1440" w:gutter="0" w:footer="0" w:header="0"/>
        </w:sectPr>
      </w:pPr>
    </w:p>
    <w:p>
      <w:pPr>
        <w:spacing w:after="0" w:line="400"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1,000,000(2)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480"/>
          </w:cols>
          <w:pgMar w:left="248" w:top="395" w:right="419" w:bottom="1440" w:gutter="0" w:footer="0" w:header="0"/>
          <w:type w:val="continuous"/>
        </w:sectPr>
      </w:pPr>
    </w:p>
    <w:p>
      <w:pPr>
        <w:spacing w:after="0" w:line="227" w:lineRule="exact"/>
        <w:rPr>
          <w:sz w:val="20"/>
          <w:szCs w:val="20"/>
          <w:color w:val="auto"/>
        </w:rPr>
      </w:pPr>
    </w:p>
    <w:p>
      <w:pPr>
        <w:ind w:left="1052" w:right="5380" w:hanging="620"/>
        <w:spacing w:after="0" w:line="277" w:lineRule="auto"/>
        <w:tabs>
          <w:tab w:leader="none" w:pos="1052" w:val="left"/>
        </w:tabs>
        <w:numPr>
          <w:ilvl w:val="1"/>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1,000,000(2)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7.3%(3)</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32" w:hanging="332"/>
        <w:spacing w:after="0" w:line="264" w:lineRule="auto"/>
        <w:tabs>
          <w:tab w:leader="none" w:pos="339" w:val="left"/>
        </w:tabs>
        <w:numPr>
          <w:ilvl w:val="0"/>
          <w:numId w:val="7"/>
        </w:numPr>
        <w:rPr>
          <w:rFonts w:ascii="Arial" w:cs="Arial" w:eastAsia="Arial" w:hAnsi="Arial"/>
          <w:sz w:val="18"/>
          <w:szCs w:val="18"/>
          <w:color w:val="auto"/>
        </w:rPr>
      </w:pPr>
      <w:r>
        <w:rPr>
          <w:rFonts w:ascii="Arial" w:cs="Arial" w:eastAsia="Arial" w:hAnsi="Arial"/>
          <w:sz w:val="18"/>
          <w:szCs w:val="18"/>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w:t>
      </w:r>
    </w:p>
    <w:p>
      <w:pPr>
        <w:spacing w:after="0" w:line="181" w:lineRule="exact"/>
        <w:rPr>
          <w:rFonts w:ascii="Arial" w:cs="Arial" w:eastAsia="Arial" w:hAnsi="Arial"/>
          <w:sz w:val="18"/>
          <w:szCs w:val="18"/>
          <w:color w:val="auto"/>
        </w:rPr>
      </w:pPr>
    </w:p>
    <w:p>
      <w:pPr>
        <w:ind w:left="332" w:right="300" w:hanging="332"/>
        <w:spacing w:after="0" w:line="342" w:lineRule="auto"/>
        <w:tabs>
          <w:tab w:leader="none" w:pos="339"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Consists of 29,339 shares owned by Venrock Healthcare Capital Partners II, L.P., 11,896 shares owned by VHCP Co-Investment Holdings II, LLC, 871,613 shares owned by Venrock Healthcare Capital Partners III, L.P. and 87,152 shares owned by VHCP Co-Investment Holdings III, LLC.</w:t>
      </w:r>
    </w:p>
    <w:p>
      <w:pPr>
        <w:spacing w:after="0" w:line="123" w:lineRule="exact"/>
        <w:rPr>
          <w:rFonts w:ascii="Arial" w:cs="Arial" w:eastAsia="Arial" w:hAnsi="Arial"/>
          <w:sz w:val="16"/>
          <w:szCs w:val="16"/>
          <w:color w:val="auto"/>
        </w:rPr>
      </w:pPr>
    </w:p>
    <w:p>
      <w:pPr>
        <w:ind w:left="332" w:right="40" w:hanging="332"/>
        <w:spacing w:after="0" w:line="308" w:lineRule="auto"/>
        <w:tabs>
          <w:tab w:leader="none" w:pos="339"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percentage is calculated based upon 13,788,982 shares of the Issuer’s common stock outstanding after the completion of the Issuer’s initial public offering, as reported in the Issuer’s final prospectus filed with the Securities and Exchange Commission on November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-1560830</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-2109470</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-2658745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-3070225</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-1346835</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27"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32"/>
          </w:cols>
          <w:pgMar w:left="248" w:top="395" w:right="419" w:bottom="1440" w:gutter="0" w:footer="0" w:header="0"/>
          <w:type w:val="continuous"/>
        </w:sectPr>
      </w:pPr>
    </w:p>
    <w:bookmarkStart w:id="3" w:name="page4"/>
    <w:bookmarkEnd w:id="3"/>
    <w:p>
      <w:pPr>
        <w:ind w:left="52"/>
        <w:spacing w:after="0"/>
        <w:rPr>
          <w:sz w:val="20"/>
          <w:szCs w:val="20"/>
          <w:color w:val="auto"/>
        </w:rPr>
      </w:pPr>
      <w:r>
        <w:rPr>
          <w:rFonts w:ascii="Arial" w:cs="Arial" w:eastAsia="Arial" w:hAnsi="Arial"/>
          <w:sz w:val="18"/>
          <w:szCs w:val="18"/>
          <w:color w:val="auto"/>
        </w:rPr>
        <w:t>CUSIP No. 282559103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hanging="620"/>
        <w:spacing w:after="0"/>
        <w:tabs>
          <w:tab w:leader="none" w:pos="1052"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Venrock Healthcare Capital Partners III, L.P.</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0"/>
          <w:numId w:val="8"/>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8"/>
        </w:numPr>
        <w:rPr>
          <w:rFonts w:ascii="Arial" w:cs="Arial" w:eastAsia="Arial" w:hAnsi="Arial"/>
          <w:sz w:val="18"/>
          <w:szCs w:val="18"/>
          <w:color w:val="auto"/>
        </w:rPr>
      </w:pPr>
      <w:r>
        <w:rPr>
          <w:rFonts w:ascii="Arial" w:cs="Arial" w:eastAsia="Arial" w:hAnsi="Arial"/>
          <w:sz w:val="18"/>
          <w:szCs w:val="18"/>
          <w:color w:val="auto"/>
        </w:rPr>
        <w:t>x(1)</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560" w:hanging="620"/>
        <w:spacing w:after="0" w:line="277" w:lineRule="auto"/>
        <w:tabs>
          <w:tab w:leader="none" w:pos="1052"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-534035</wp:posOffset>
            </wp:positionV>
            <wp:extent cx="6612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-945515</wp:posOffset>
            </wp:positionV>
            <wp:extent cx="58743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-1159510</wp:posOffset>
            </wp:positionV>
            <wp:extent cx="58743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-1777365</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32"/>
          </w:cols>
          <w:pgMar w:left="248" w:top="395" w:right="419" w:bottom="1440" w:gutter="0" w:footer="0" w:header="0"/>
        </w:sectPr>
      </w:pPr>
    </w:p>
    <w:p>
      <w:pPr>
        <w:spacing w:after="0" w:line="400"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1,000,000(2)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480"/>
          </w:cols>
          <w:pgMar w:left="248" w:top="395" w:right="419" w:bottom="1440" w:gutter="0" w:footer="0" w:header="0"/>
          <w:type w:val="continuous"/>
        </w:sectPr>
      </w:pPr>
    </w:p>
    <w:p>
      <w:pPr>
        <w:spacing w:after="0" w:line="227" w:lineRule="exact"/>
        <w:rPr>
          <w:sz w:val="20"/>
          <w:szCs w:val="20"/>
          <w:color w:val="auto"/>
        </w:rPr>
      </w:pPr>
    </w:p>
    <w:p>
      <w:pPr>
        <w:ind w:left="1052" w:right="5380" w:hanging="620"/>
        <w:spacing w:after="0" w:line="277" w:lineRule="auto"/>
        <w:tabs>
          <w:tab w:leader="none" w:pos="1052" w:val="left"/>
        </w:tabs>
        <w:numPr>
          <w:ilvl w:val="1"/>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1,000,000(2)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7.3%(3)</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32" w:hanging="332"/>
        <w:spacing w:after="0" w:line="264" w:lineRule="auto"/>
        <w:tabs>
          <w:tab w:leader="none" w:pos="339" w:val="left"/>
        </w:tabs>
        <w:numPr>
          <w:ilvl w:val="0"/>
          <w:numId w:val="10"/>
        </w:numPr>
        <w:rPr>
          <w:rFonts w:ascii="Arial" w:cs="Arial" w:eastAsia="Arial" w:hAnsi="Arial"/>
          <w:sz w:val="18"/>
          <w:szCs w:val="18"/>
          <w:color w:val="auto"/>
        </w:rPr>
      </w:pPr>
      <w:r>
        <w:rPr>
          <w:rFonts w:ascii="Arial" w:cs="Arial" w:eastAsia="Arial" w:hAnsi="Arial"/>
          <w:sz w:val="18"/>
          <w:szCs w:val="18"/>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w:t>
      </w:r>
    </w:p>
    <w:p>
      <w:pPr>
        <w:spacing w:after="0" w:line="181" w:lineRule="exact"/>
        <w:rPr>
          <w:rFonts w:ascii="Arial" w:cs="Arial" w:eastAsia="Arial" w:hAnsi="Arial"/>
          <w:sz w:val="18"/>
          <w:szCs w:val="18"/>
          <w:color w:val="auto"/>
        </w:rPr>
      </w:pPr>
    </w:p>
    <w:p>
      <w:pPr>
        <w:ind w:left="332" w:right="300" w:hanging="332"/>
        <w:spacing w:after="0" w:line="342" w:lineRule="auto"/>
        <w:tabs>
          <w:tab w:leader="none" w:pos="339"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Consists of 29,339 shares owned by Venrock Healthcare Capital Partners II, L.P., 11,896 shares owned by VHCP Co-Investment Holdings II, LLC, 871,613 shares owned by Venrock Healthcare Capital Partners III, L.P. and 87,152 shares owned by VHCP Co-Investment Holdings III, LLC.</w:t>
      </w:r>
    </w:p>
    <w:p>
      <w:pPr>
        <w:spacing w:after="0" w:line="123" w:lineRule="exact"/>
        <w:rPr>
          <w:rFonts w:ascii="Arial" w:cs="Arial" w:eastAsia="Arial" w:hAnsi="Arial"/>
          <w:sz w:val="16"/>
          <w:szCs w:val="16"/>
          <w:color w:val="auto"/>
        </w:rPr>
      </w:pPr>
    </w:p>
    <w:p>
      <w:pPr>
        <w:ind w:left="332" w:right="40" w:hanging="332"/>
        <w:spacing w:after="0" w:line="308" w:lineRule="auto"/>
        <w:tabs>
          <w:tab w:leader="none" w:pos="339"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This percentage is calculated based upon 13,788,982 shares of the Issuer’s common stock outstanding after the completion of the Issuer’s initial public offering, as reported in the Issuer’s final prospectus filed with the Securities and Exchange Commission on November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-1560830</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-2109470</wp:posOffset>
            </wp:positionV>
            <wp:extent cx="6612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-2658745</wp:posOffset>
            </wp:positionV>
            <wp:extent cx="6612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-3070225</wp:posOffset>
            </wp:positionV>
            <wp:extent cx="6612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-1346835</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27"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32"/>
          </w:cols>
          <w:pgMar w:left="248" w:top="395" w:right="419" w:bottom="1440" w:gutter="0" w:footer="0" w:header="0"/>
          <w:type w:val="continuous"/>
        </w:sectPr>
      </w:pPr>
    </w:p>
    <w:bookmarkStart w:id="4" w:name="page5"/>
    <w:bookmarkEnd w:id="4"/>
    <w:p>
      <w:pPr>
        <w:ind w:left="52"/>
        <w:spacing w:after="0"/>
        <w:rPr>
          <w:sz w:val="20"/>
          <w:szCs w:val="20"/>
          <w:color w:val="auto"/>
        </w:rPr>
      </w:pPr>
      <w:r>
        <w:rPr>
          <w:rFonts w:ascii="Arial" w:cs="Arial" w:eastAsia="Arial" w:hAnsi="Arial"/>
          <w:sz w:val="18"/>
          <w:szCs w:val="18"/>
          <w:color w:val="auto"/>
        </w:rPr>
        <w:t>CUSIP No. 282559103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hanging="620"/>
        <w:spacing w:after="0"/>
        <w:tabs>
          <w:tab w:leader="none" w:pos="10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VHCP Co-Investment Holdings III, LLC</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11"/>
        </w:numPr>
        <w:rPr>
          <w:rFonts w:ascii="Arial" w:cs="Arial" w:eastAsia="Arial" w:hAnsi="Arial"/>
          <w:sz w:val="18"/>
          <w:szCs w:val="18"/>
          <w:color w:val="auto"/>
        </w:rPr>
      </w:pPr>
      <w:r>
        <w:rPr>
          <w:rFonts w:ascii="Arial" w:cs="Arial" w:eastAsia="Arial" w:hAnsi="Arial"/>
          <w:sz w:val="18"/>
          <w:szCs w:val="18"/>
          <w:color w:val="auto"/>
        </w:rPr>
        <w:t>x(1)</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11"/>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560" w:hanging="620"/>
        <w:spacing w:after="0" w:line="277" w:lineRule="auto"/>
        <w:tabs>
          <w:tab w:leader="none" w:pos="10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-534035</wp:posOffset>
            </wp:positionV>
            <wp:extent cx="6612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-945515</wp:posOffset>
            </wp:positionV>
            <wp:extent cx="58743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-1159510</wp:posOffset>
            </wp:positionV>
            <wp:extent cx="58743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-1777365</wp:posOffset>
            </wp:positionV>
            <wp:extent cx="6612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32"/>
          </w:cols>
          <w:pgMar w:left="248" w:top="395" w:right="419" w:bottom="1440" w:gutter="0" w:footer="0" w:header="0"/>
        </w:sectPr>
      </w:pPr>
    </w:p>
    <w:p>
      <w:pPr>
        <w:spacing w:after="0" w:line="400"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1,000,000(2)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480"/>
          </w:cols>
          <w:pgMar w:left="248" w:top="395" w:right="419" w:bottom="1440" w:gutter="0" w:footer="0" w:header="0"/>
          <w:type w:val="continuous"/>
        </w:sectPr>
      </w:pPr>
    </w:p>
    <w:p>
      <w:pPr>
        <w:spacing w:after="0" w:line="227" w:lineRule="exact"/>
        <w:rPr>
          <w:sz w:val="20"/>
          <w:szCs w:val="20"/>
          <w:color w:val="auto"/>
        </w:rPr>
      </w:pPr>
    </w:p>
    <w:p>
      <w:pPr>
        <w:ind w:left="1052" w:right="5380" w:hanging="620"/>
        <w:spacing w:after="0" w:line="277" w:lineRule="auto"/>
        <w:tabs>
          <w:tab w:leader="none" w:pos="10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1,000,000(2)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7.3%(3)</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32" w:hanging="332"/>
        <w:spacing w:after="0" w:line="264" w:lineRule="auto"/>
        <w:tabs>
          <w:tab w:leader="none" w:pos="3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w:t>
      </w:r>
    </w:p>
    <w:p>
      <w:pPr>
        <w:spacing w:after="0" w:line="181" w:lineRule="exact"/>
        <w:rPr>
          <w:rFonts w:ascii="Arial" w:cs="Arial" w:eastAsia="Arial" w:hAnsi="Arial"/>
          <w:sz w:val="18"/>
          <w:szCs w:val="18"/>
          <w:color w:val="auto"/>
        </w:rPr>
      </w:pPr>
    </w:p>
    <w:p>
      <w:pPr>
        <w:ind w:left="332" w:right="300" w:hanging="332"/>
        <w:spacing w:after="0" w:line="342" w:lineRule="auto"/>
        <w:tabs>
          <w:tab w:leader="none" w:pos="339"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29,339 shares owned by Venrock Healthcare Capital Partners II, L.P., 11,896 shares owned by VHCP Co-Investment Holdings II, LLC, 871,613 shares owned by Venrock Healthcare Capital Partners III, L.P. and 87,152 shares owned by VHCP Co-Investment Holdings III, LLC.</w:t>
      </w:r>
    </w:p>
    <w:p>
      <w:pPr>
        <w:spacing w:after="0" w:line="123" w:lineRule="exact"/>
        <w:rPr>
          <w:rFonts w:ascii="Arial" w:cs="Arial" w:eastAsia="Arial" w:hAnsi="Arial"/>
          <w:sz w:val="16"/>
          <w:szCs w:val="16"/>
          <w:color w:val="auto"/>
        </w:rPr>
      </w:pPr>
    </w:p>
    <w:p>
      <w:pPr>
        <w:ind w:left="332" w:right="40" w:hanging="332"/>
        <w:spacing w:after="0" w:line="308" w:lineRule="auto"/>
        <w:tabs>
          <w:tab w:leader="none" w:pos="339"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percentage is calculated based upon 13,788,982 shares of the Issuer’s common stock outstanding after the completion of the Issuer’s initial public offering, as reported in the Issuer’s final prospectus filed with the Securities and Exchange Commission on November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-1560830</wp:posOffset>
            </wp:positionV>
            <wp:extent cx="6612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-2109470</wp:posOffset>
            </wp:positionV>
            <wp:extent cx="6612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-2658745</wp:posOffset>
            </wp:positionV>
            <wp:extent cx="6612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-3070225</wp:posOffset>
            </wp:positionV>
            <wp:extent cx="6612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-1346835</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27"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32"/>
          </w:cols>
          <w:pgMar w:left="248" w:top="395" w:right="419" w:bottom="1440" w:gutter="0" w:footer="0" w:header="0"/>
          <w:type w:val="continuous"/>
        </w:sectPr>
      </w:pPr>
    </w:p>
    <w:bookmarkStart w:id="5" w:name="page6"/>
    <w:bookmarkEnd w:id="5"/>
    <w:p>
      <w:pPr>
        <w:ind w:left="52"/>
        <w:spacing w:after="0"/>
        <w:rPr>
          <w:sz w:val="20"/>
          <w:szCs w:val="20"/>
          <w:color w:val="auto"/>
        </w:rPr>
      </w:pPr>
      <w:r>
        <w:rPr>
          <w:rFonts w:ascii="Arial" w:cs="Arial" w:eastAsia="Arial" w:hAnsi="Arial"/>
          <w:sz w:val="18"/>
          <w:szCs w:val="18"/>
          <w:color w:val="auto"/>
        </w:rPr>
        <w:t>CUSIP No. 282559103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120" w:hanging="620"/>
        <w:spacing w:after="0" w:line="342" w:lineRule="auto"/>
        <w:tabs>
          <w:tab w:leader="none" w:pos="10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Name of Reporting Persons VHCP Management II, LLC</w:t>
      </w:r>
    </w:p>
    <w:p>
      <w:pPr>
        <w:spacing w:after="0" w:line="339" w:lineRule="exact"/>
        <w:rPr>
          <w:rFonts w:ascii="Arial" w:cs="Arial" w:eastAsia="Arial" w:hAnsi="Arial"/>
          <w:sz w:val="16"/>
          <w:szCs w:val="16"/>
          <w:color w:val="auto"/>
        </w:rPr>
      </w:pPr>
    </w:p>
    <w:p>
      <w:pPr>
        <w:ind w:left="1052" w:hanging="620"/>
        <w:spacing w:after="0"/>
        <w:tabs>
          <w:tab w:leader="none" w:pos="10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x(1)</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560" w:hanging="620"/>
        <w:spacing w:after="0" w:line="277" w:lineRule="auto"/>
        <w:tabs>
          <w:tab w:leader="none" w:pos="10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-534035</wp:posOffset>
            </wp:positionV>
            <wp:extent cx="6612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-945515</wp:posOffset>
            </wp:positionV>
            <wp:extent cx="58743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-1159510</wp:posOffset>
            </wp:positionV>
            <wp:extent cx="58743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-1777365</wp:posOffset>
            </wp:positionV>
            <wp:extent cx="6612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32"/>
          </w:cols>
          <w:pgMar w:left="248" w:top="395" w:right="419" w:bottom="1440" w:gutter="0" w:footer="0" w:header="0"/>
        </w:sectPr>
      </w:pPr>
    </w:p>
    <w:p>
      <w:pPr>
        <w:spacing w:after="0" w:line="400"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1,000,000(2)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480"/>
          </w:cols>
          <w:pgMar w:left="248" w:top="395" w:right="419" w:bottom="1440" w:gutter="0" w:footer="0" w:header="0"/>
          <w:type w:val="continuous"/>
        </w:sectPr>
      </w:pPr>
    </w:p>
    <w:p>
      <w:pPr>
        <w:spacing w:after="0" w:line="227" w:lineRule="exact"/>
        <w:rPr>
          <w:sz w:val="20"/>
          <w:szCs w:val="20"/>
          <w:color w:val="auto"/>
        </w:rPr>
      </w:pPr>
    </w:p>
    <w:p>
      <w:pPr>
        <w:ind w:left="1052" w:right="5380" w:hanging="620"/>
        <w:spacing w:after="0" w:line="277" w:lineRule="auto"/>
        <w:tabs>
          <w:tab w:leader="none" w:pos="1052" w:val="left"/>
        </w:tabs>
        <w:numPr>
          <w:ilvl w:val="1"/>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1,000,000(2)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7.3%(3)</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32" w:hanging="332"/>
        <w:spacing w:after="0" w:line="264" w:lineRule="auto"/>
        <w:tabs>
          <w:tab w:leader="none" w:pos="339" w:val="left"/>
        </w:tabs>
        <w:numPr>
          <w:ilvl w:val="0"/>
          <w:numId w:val="16"/>
        </w:numPr>
        <w:rPr>
          <w:rFonts w:ascii="Arial" w:cs="Arial" w:eastAsia="Arial" w:hAnsi="Arial"/>
          <w:sz w:val="18"/>
          <w:szCs w:val="18"/>
          <w:color w:val="auto"/>
        </w:rPr>
      </w:pPr>
      <w:r>
        <w:rPr>
          <w:rFonts w:ascii="Arial" w:cs="Arial" w:eastAsia="Arial" w:hAnsi="Arial"/>
          <w:sz w:val="18"/>
          <w:szCs w:val="18"/>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w:t>
      </w:r>
    </w:p>
    <w:p>
      <w:pPr>
        <w:spacing w:after="0" w:line="181" w:lineRule="exact"/>
        <w:rPr>
          <w:rFonts w:ascii="Arial" w:cs="Arial" w:eastAsia="Arial" w:hAnsi="Arial"/>
          <w:sz w:val="18"/>
          <w:szCs w:val="18"/>
          <w:color w:val="auto"/>
        </w:rPr>
      </w:pPr>
    </w:p>
    <w:p>
      <w:pPr>
        <w:ind w:left="332" w:right="300" w:hanging="332"/>
        <w:spacing w:after="0" w:line="342" w:lineRule="auto"/>
        <w:tabs>
          <w:tab w:leader="none" w:pos="339"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29,339 shares owned by Venrock Healthcare Capital Partners II, L.P., 11,896 shares owned by VHCP Co-Investment Holdings II, LLC, 871,613 shares owned by Venrock Healthcare Capital Partners III, L.P. and 87,152 shares owned by VHCP Co-Investment Holdings III, LLC.</w:t>
      </w:r>
    </w:p>
    <w:p>
      <w:pPr>
        <w:spacing w:after="0" w:line="123" w:lineRule="exact"/>
        <w:rPr>
          <w:rFonts w:ascii="Arial" w:cs="Arial" w:eastAsia="Arial" w:hAnsi="Arial"/>
          <w:sz w:val="16"/>
          <w:szCs w:val="16"/>
          <w:color w:val="auto"/>
        </w:rPr>
      </w:pPr>
    </w:p>
    <w:p>
      <w:pPr>
        <w:ind w:left="332" w:right="40" w:hanging="332"/>
        <w:spacing w:after="0" w:line="308" w:lineRule="auto"/>
        <w:tabs>
          <w:tab w:leader="none" w:pos="33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This percentage is calculated based upon 13,788,982 shares of the Issuer’s common stock outstanding after the completion of the Issuer’s initial public offering, as reported in the Issuer’s final prospectus filed with the Securities and Exchange Commission on November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-1560830</wp:posOffset>
            </wp:positionV>
            <wp:extent cx="6612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-2109470</wp:posOffset>
            </wp:positionV>
            <wp:extent cx="6612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-2658745</wp:posOffset>
            </wp:positionV>
            <wp:extent cx="6612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-3070225</wp:posOffset>
            </wp:positionV>
            <wp:extent cx="6612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-1346835</wp:posOffset>
            </wp:positionV>
            <wp:extent cx="18268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27"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32"/>
          </w:cols>
          <w:pgMar w:left="248" w:top="395" w:right="419" w:bottom="1440" w:gutter="0" w:footer="0" w:header="0"/>
          <w:type w:val="continuous"/>
        </w:sectPr>
      </w:pPr>
    </w:p>
    <w:bookmarkStart w:id="6" w:name="page7"/>
    <w:bookmarkEnd w:id="6"/>
    <w:p>
      <w:pPr>
        <w:ind w:left="52"/>
        <w:spacing w:after="0"/>
        <w:rPr>
          <w:sz w:val="20"/>
          <w:szCs w:val="20"/>
          <w:color w:val="auto"/>
        </w:rPr>
      </w:pPr>
      <w:r>
        <w:rPr>
          <w:rFonts w:ascii="Arial" w:cs="Arial" w:eastAsia="Arial" w:hAnsi="Arial"/>
          <w:sz w:val="18"/>
          <w:szCs w:val="18"/>
          <w:color w:val="auto"/>
        </w:rPr>
        <w:t>CUSIP No. 282559103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060" w:hanging="620"/>
        <w:spacing w:after="0" w:line="308" w:lineRule="auto"/>
        <w:tabs>
          <w:tab w:leader="none" w:pos="1052" w:val="left"/>
        </w:tabs>
        <w:numPr>
          <w:ilvl w:val="0"/>
          <w:numId w:val="17"/>
        </w:numPr>
        <w:rPr>
          <w:rFonts w:ascii="Arial" w:cs="Arial" w:eastAsia="Arial" w:hAnsi="Arial"/>
          <w:sz w:val="17"/>
          <w:szCs w:val="17"/>
          <w:color w:val="auto"/>
        </w:rPr>
      </w:pPr>
      <w:r>
        <w:rPr>
          <w:rFonts w:ascii="Arial" w:cs="Arial" w:eastAsia="Arial" w:hAnsi="Arial"/>
          <w:sz w:val="17"/>
          <w:szCs w:val="17"/>
          <w:color w:val="auto"/>
        </w:rPr>
        <w:t>Name of Reporting Persons VHCP Management III, LLC</w:t>
      </w:r>
    </w:p>
    <w:p>
      <w:pPr>
        <w:spacing w:after="0" w:line="362" w:lineRule="exact"/>
        <w:rPr>
          <w:rFonts w:ascii="Arial" w:cs="Arial" w:eastAsia="Arial" w:hAnsi="Arial"/>
          <w:sz w:val="17"/>
          <w:szCs w:val="17"/>
          <w:color w:val="auto"/>
        </w:rPr>
      </w:pPr>
    </w:p>
    <w:p>
      <w:pPr>
        <w:ind w:left="1052" w:hanging="620"/>
        <w:spacing w:after="0"/>
        <w:tabs>
          <w:tab w:leader="none" w:pos="10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17"/>
        </w:numPr>
        <w:rPr>
          <w:rFonts w:ascii="Arial" w:cs="Arial" w:eastAsia="Arial" w:hAnsi="Arial"/>
          <w:sz w:val="18"/>
          <w:szCs w:val="18"/>
          <w:color w:val="auto"/>
        </w:rPr>
      </w:pPr>
      <w:r>
        <w:rPr>
          <w:rFonts w:ascii="Arial" w:cs="Arial" w:eastAsia="Arial" w:hAnsi="Arial"/>
          <w:sz w:val="18"/>
          <w:szCs w:val="18"/>
          <w:color w:val="auto"/>
        </w:rPr>
        <w:t>x(1)</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17"/>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560" w:hanging="620"/>
        <w:spacing w:after="0" w:line="277" w:lineRule="auto"/>
        <w:tabs>
          <w:tab w:leader="none" w:pos="10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-534035</wp:posOffset>
            </wp:positionV>
            <wp:extent cx="6612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-945515</wp:posOffset>
            </wp:positionV>
            <wp:extent cx="58743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-1159510</wp:posOffset>
            </wp:positionV>
            <wp:extent cx="58743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-1777365</wp:posOffset>
            </wp:positionV>
            <wp:extent cx="6612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32"/>
          </w:cols>
          <w:pgMar w:left="248" w:top="395" w:right="419" w:bottom="1440" w:gutter="0" w:footer="0" w:header="0"/>
        </w:sectPr>
      </w:pPr>
    </w:p>
    <w:p>
      <w:pPr>
        <w:spacing w:after="0" w:line="400"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1,000,000(2)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480"/>
          </w:cols>
          <w:pgMar w:left="248" w:top="395" w:right="419" w:bottom="1440" w:gutter="0" w:footer="0" w:header="0"/>
          <w:type w:val="continuous"/>
        </w:sectPr>
      </w:pPr>
    </w:p>
    <w:p>
      <w:pPr>
        <w:spacing w:after="0" w:line="227" w:lineRule="exact"/>
        <w:rPr>
          <w:sz w:val="20"/>
          <w:szCs w:val="20"/>
          <w:color w:val="auto"/>
        </w:rPr>
      </w:pPr>
    </w:p>
    <w:p>
      <w:pPr>
        <w:ind w:left="1052" w:right="5380" w:hanging="620"/>
        <w:spacing w:after="0" w:line="277" w:lineRule="auto"/>
        <w:tabs>
          <w:tab w:leader="none" w:pos="10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1,000,000(2)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7.3%(3)</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32" w:hanging="332"/>
        <w:spacing w:after="0" w:line="264" w:lineRule="auto"/>
        <w:tabs>
          <w:tab w:leader="none" w:pos="3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w:t>
      </w:r>
    </w:p>
    <w:p>
      <w:pPr>
        <w:spacing w:after="0" w:line="181" w:lineRule="exact"/>
        <w:rPr>
          <w:rFonts w:ascii="Arial" w:cs="Arial" w:eastAsia="Arial" w:hAnsi="Arial"/>
          <w:sz w:val="18"/>
          <w:szCs w:val="18"/>
          <w:color w:val="auto"/>
        </w:rPr>
      </w:pPr>
    </w:p>
    <w:p>
      <w:pPr>
        <w:ind w:left="332" w:right="300" w:hanging="332"/>
        <w:spacing w:after="0" w:line="342" w:lineRule="auto"/>
        <w:tabs>
          <w:tab w:leader="none" w:pos="339"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Consists of 29,339 shares owned by Venrock Healthcare Capital Partners II, L.P., 11,896 shares owned by VHCP Co-Investment Holdings II, LLC, 871,613 shares owned by Venrock Healthcare Capital Partners III, L.P. and 87,152 shares owned by VHCP Co-Investment Holdings III, LLC.</w:t>
      </w:r>
    </w:p>
    <w:p>
      <w:pPr>
        <w:spacing w:after="0" w:line="123" w:lineRule="exact"/>
        <w:rPr>
          <w:rFonts w:ascii="Arial" w:cs="Arial" w:eastAsia="Arial" w:hAnsi="Arial"/>
          <w:sz w:val="16"/>
          <w:szCs w:val="16"/>
          <w:color w:val="auto"/>
        </w:rPr>
      </w:pPr>
    </w:p>
    <w:p>
      <w:pPr>
        <w:ind w:left="332" w:right="40" w:hanging="332"/>
        <w:spacing w:after="0" w:line="308" w:lineRule="auto"/>
        <w:tabs>
          <w:tab w:leader="none" w:pos="339"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percentage is calculated based upon 13,788,982 shares of the Issuer’s common stock outstanding after the completion of the Issuer’s initial public offering, as reported in the Issuer’s final prospectus filed with the Securities and Exchange Commission on November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-1560830</wp:posOffset>
            </wp:positionV>
            <wp:extent cx="6612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-2109470</wp:posOffset>
            </wp:positionV>
            <wp:extent cx="6612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-2658745</wp:posOffset>
            </wp:positionV>
            <wp:extent cx="6612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-3070225</wp:posOffset>
            </wp:positionV>
            <wp:extent cx="6612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-1346835</wp:posOffset>
            </wp:positionV>
            <wp:extent cx="18268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27"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32"/>
          </w:cols>
          <w:pgMar w:left="248" w:top="395" w:right="419" w:bottom="1440" w:gutter="0" w:footer="0" w:header="0"/>
          <w:type w:val="continuous"/>
        </w:sectPr>
      </w:pPr>
    </w:p>
    <w:bookmarkStart w:id="7" w:name="page8"/>
    <w:bookmarkEnd w:id="7"/>
    <w:p>
      <w:pPr>
        <w:ind w:left="52"/>
        <w:spacing w:after="0"/>
        <w:rPr>
          <w:sz w:val="20"/>
          <w:szCs w:val="20"/>
          <w:color w:val="auto"/>
        </w:rPr>
      </w:pPr>
      <w:r>
        <w:rPr>
          <w:rFonts w:ascii="Arial" w:cs="Arial" w:eastAsia="Arial" w:hAnsi="Arial"/>
          <w:sz w:val="18"/>
          <w:szCs w:val="18"/>
          <w:color w:val="auto"/>
        </w:rPr>
        <w:t>CUSIP No. 282559103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180" w:hanging="620"/>
        <w:spacing w:after="0" w:line="277" w:lineRule="auto"/>
        <w:tabs>
          <w:tab w:leader="none" w:pos="10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 of Reporting Persons Shah, Nimish</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20"/>
        </w:numPr>
        <w:rPr>
          <w:rFonts w:ascii="Arial" w:cs="Arial" w:eastAsia="Arial" w:hAnsi="Arial"/>
          <w:sz w:val="18"/>
          <w:szCs w:val="18"/>
          <w:color w:val="auto"/>
        </w:rPr>
      </w:pPr>
      <w:r>
        <w:rPr>
          <w:rFonts w:ascii="Arial" w:cs="Arial" w:eastAsia="Arial" w:hAnsi="Arial"/>
          <w:sz w:val="18"/>
          <w:szCs w:val="18"/>
          <w:color w:val="auto"/>
        </w:rPr>
        <w:t>x(1)</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20"/>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560" w:hanging="620"/>
        <w:spacing w:after="0" w:line="277" w:lineRule="auto"/>
        <w:tabs>
          <w:tab w:leader="none" w:pos="10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-534035</wp:posOffset>
            </wp:positionV>
            <wp:extent cx="6612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-945515</wp:posOffset>
            </wp:positionV>
            <wp:extent cx="58743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-1159510</wp:posOffset>
            </wp:positionV>
            <wp:extent cx="58743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-1777365</wp:posOffset>
            </wp:positionV>
            <wp:extent cx="6612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32"/>
          </w:cols>
          <w:pgMar w:left="248" w:top="395" w:right="419" w:bottom="1440" w:gutter="0" w:footer="0" w:header="0"/>
        </w:sectPr>
      </w:pPr>
    </w:p>
    <w:p>
      <w:pPr>
        <w:spacing w:after="0" w:line="400"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1,000,000(2)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480"/>
          </w:cols>
          <w:pgMar w:left="248" w:top="395" w:right="419" w:bottom="1440" w:gutter="0" w:footer="0" w:header="0"/>
          <w:type w:val="continuous"/>
        </w:sectPr>
      </w:pPr>
    </w:p>
    <w:p>
      <w:pPr>
        <w:spacing w:after="0" w:line="227" w:lineRule="exact"/>
        <w:rPr>
          <w:sz w:val="20"/>
          <w:szCs w:val="20"/>
          <w:color w:val="auto"/>
        </w:rPr>
      </w:pPr>
    </w:p>
    <w:p>
      <w:pPr>
        <w:ind w:left="1052" w:right="5380" w:hanging="620"/>
        <w:spacing w:after="0" w:line="277" w:lineRule="auto"/>
        <w:tabs>
          <w:tab w:leader="none" w:pos="10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1,000,000(2)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7.3%(3)</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32" w:hanging="332"/>
        <w:spacing w:after="0" w:line="264" w:lineRule="auto"/>
        <w:tabs>
          <w:tab w:leader="none" w:pos="3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w:t>
      </w:r>
    </w:p>
    <w:p>
      <w:pPr>
        <w:spacing w:after="0" w:line="181" w:lineRule="exact"/>
        <w:rPr>
          <w:rFonts w:ascii="Arial" w:cs="Arial" w:eastAsia="Arial" w:hAnsi="Arial"/>
          <w:sz w:val="18"/>
          <w:szCs w:val="18"/>
          <w:color w:val="auto"/>
        </w:rPr>
      </w:pPr>
    </w:p>
    <w:p>
      <w:pPr>
        <w:ind w:left="332" w:right="300" w:hanging="332"/>
        <w:spacing w:after="0" w:line="342" w:lineRule="auto"/>
        <w:tabs>
          <w:tab w:leader="none" w:pos="339"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Consists of 29,339 shares owned by Venrock Healthcare Capital Partners II, L.P., 11,896 shares owned by VHCP Co-Investment Holdings II, LLC, 871,613 shares owned by Venrock Healthcare Capital Partners III, L.P. and 87,152 shares owned by VHCP Co-Investment Holdings III, LLC.</w:t>
      </w:r>
    </w:p>
    <w:p>
      <w:pPr>
        <w:spacing w:after="0" w:line="123" w:lineRule="exact"/>
        <w:rPr>
          <w:rFonts w:ascii="Arial" w:cs="Arial" w:eastAsia="Arial" w:hAnsi="Arial"/>
          <w:sz w:val="16"/>
          <w:szCs w:val="16"/>
          <w:color w:val="auto"/>
        </w:rPr>
      </w:pPr>
    </w:p>
    <w:p>
      <w:pPr>
        <w:ind w:left="332" w:right="40" w:hanging="332"/>
        <w:spacing w:after="0" w:line="308" w:lineRule="auto"/>
        <w:tabs>
          <w:tab w:leader="none" w:pos="339"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This percentage is calculated based upon 13,788,982 shares of the Issuer’s common stock outstanding after the completion of the Issuer’s initial public offering, as reported in the Issuer’s final prospectus filed with the Securities and Exchange Commission on November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-1560830</wp:posOffset>
            </wp:positionV>
            <wp:extent cx="6612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-2109470</wp:posOffset>
            </wp:positionV>
            <wp:extent cx="6612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-2658745</wp:posOffset>
            </wp:positionV>
            <wp:extent cx="6612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-3070225</wp:posOffset>
            </wp:positionV>
            <wp:extent cx="6612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-1346835</wp:posOffset>
            </wp:positionV>
            <wp:extent cx="18268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27"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32"/>
          </w:cols>
          <w:pgMar w:left="248" w:top="395" w:right="419" w:bottom="1440" w:gutter="0" w:footer="0" w:header="0"/>
          <w:type w:val="continuous"/>
        </w:sectPr>
      </w:pPr>
    </w:p>
    <w:bookmarkStart w:id="8" w:name="page9"/>
    <w:bookmarkEnd w:id="8"/>
    <w:p>
      <w:pPr>
        <w:ind w:left="52"/>
        <w:spacing w:after="0"/>
        <w:rPr>
          <w:sz w:val="20"/>
          <w:szCs w:val="20"/>
          <w:color w:val="auto"/>
        </w:rPr>
      </w:pPr>
      <w:r>
        <w:rPr>
          <w:rFonts w:ascii="Arial" w:cs="Arial" w:eastAsia="Arial" w:hAnsi="Arial"/>
          <w:sz w:val="18"/>
          <w:szCs w:val="18"/>
          <w:color w:val="auto"/>
        </w:rPr>
        <w:t>CUSIP No. 282559103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180" w:hanging="620"/>
        <w:spacing w:after="0" w:line="277" w:lineRule="auto"/>
        <w:tabs>
          <w:tab w:leader="none" w:pos="10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 of Reporting Persons Koh, Bong</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23"/>
        </w:numPr>
        <w:rPr>
          <w:rFonts w:ascii="Arial" w:cs="Arial" w:eastAsia="Arial" w:hAnsi="Arial"/>
          <w:sz w:val="18"/>
          <w:szCs w:val="18"/>
          <w:color w:val="auto"/>
        </w:rPr>
      </w:pPr>
      <w:r>
        <w:rPr>
          <w:rFonts w:ascii="Arial" w:cs="Arial" w:eastAsia="Arial" w:hAnsi="Arial"/>
          <w:sz w:val="18"/>
          <w:szCs w:val="18"/>
          <w:color w:val="auto"/>
        </w:rPr>
        <w:t>x(1)</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23"/>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560" w:hanging="620"/>
        <w:spacing w:after="0" w:line="277" w:lineRule="auto"/>
        <w:tabs>
          <w:tab w:leader="none" w:pos="10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-534035</wp:posOffset>
            </wp:positionV>
            <wp:extent cx="6612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-945515</wp:posOffset>
            </wp:positionV>
            <wp:extent cx="58743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-1159510</wp:posOffset>
            </wp:positionV>
            <wp:extent cx="58743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-1777365</wp:posOffset>
            </wp:positionV>
            <wp:extent cx="66122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32"/>
          </w:cols>
          <w:pgMar w:left="248" w:top="395" w:right="419" w:bottom="1440" w:gutter="0" w:footer="0" w:header="0"/>
        </w:sectPr>
      </w:pPr>
    </w:p>
    <w:p>
      <w:pPr>
        <w:spacing w:after="0" w:line="400"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1,000,000(2)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480"/>
          </w:cols>
          <w:pgMar w:left="248" w:top="395" w:right="419" w:bottom="1440" w:gutter="0" w:footer="0" w:header="0"/>
          <w:type w:val="continuous"/>
        </w:sectPr>
      </w:pPr>
    </w:p>
    <w:p>
      <w:pPr>
        <w:spacing w:after="0" w:line="227" w:lineRule="exact"/>
        <w:rPr>
          <w:sz w:val="20"/>
          <w:szCs w:val="20"/>
          <w:color w:val="auto"/>
        </w:rPr>
      </w:pPr>
    </w:p>
    <w:p>
      <w:pPr>
        <w:ind w:left="1052" w:right="5380" w:hanging="620"/>
        <w:spacing w:after="0" w:line="277" w:lineRule="auto"/>
        <w:tabs>
          <w:tab w:leader="none" w:pos="105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1,000,000(2)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2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7.3%(3)</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32" w:hanging="332"/>
        <w:spacing w:after="0" w:line="264" w:lineRule="auto"/>
        <w:tabs>
          <w:tab w:leader="none" w:pos="3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w:t>
      </w:r>
    </w:p>
    <w:p>
      <w:pPr>
        <w:spacing w:after="0" w:line="181" w:lineRule="exact"/>
        <w:rPr>
          <w:rFonts w:ascii="Arial" w:cs="Arial" w:eastAsia="Arial" w:hAnsi="Arial"/>
          <w:sz w:val="18"/>
          <w:szCs w:val="18"/>
          <w:color w:val="auto"/>
        </w:rPr>
      </w:pPr>
    </w:p>
    <w:p>
      <w:pPr>
        <w:ind w:left="332" w:right="300" w:hanging="332"/>
        <w:spacing w:after="0" w:line="342" w:lineRule="auto"/>
        <w:tabs>
          <w:tab w:leader="none" w:pos="33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Consists of 29,339 shares owned by Venrock Healthcare Capital Partners II, L.P., 11,896 shares owned by VHCP Co-Investment Holdings II, LLC, 871,613 shares owned by Venrock Healthcare Capital Partners III, L.P. and 87,152 shares owned by VHCP Co-Investment Holdings III, LLC.</w:t>
      </w:r>
    </w:p>
    <w:p>
      <w:pPr>
        <w:spacing w:after="0" w:line="123" w:lineRule="exact"/>
        <w:rPr>
          <w:rFonts w:ascii="Arial" w:cs="Arial" w:eastAsia="Arial" w:hAnsi="Arial"/>
          <w:sz w:val="16"/>
          <w:szCs w:val="16"/>
          <w:color w:val="auto"/>
        </w:rPr>
      </w:pPr>
    </w:p>
    <w:p>
      <w:pPr>
        <w:ind w:left="332" w:right="40" w:hanging="332"/>
        <w:spacing w:after="0" w:line="308" w:lineRule="auto"/>
        <w:tabs>
          <w:tab w:leader="none" w:pos="339"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This percentage is calculated based upon 13,788,982 shares of the Issuer’s common stock outstanding after the completion of the Issuer’s initial public offering, as reported in the Issuer’s final prospectus filed with the Securities and Exchange Commission on November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-1560830</wp:posOffset>
            </wp:positionV>
            <wp:extent cx="66122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-2109470</wp:posOffset>
            </wp:positionV>
            <wp:extent cx="6612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-2658745</wp:posOffset>
            </wp:positionV>
            <wp:extent cx="6612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-3070225</wp:posOffset>
            </wp:positionV>
            <wp:extent cx="6612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-1346835</wp:posOffset>
            </wp:positionV>
            <wp:extent cx="18268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27"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32"/>
          </w:cols>
          <w:pgMar w:left="248" w:top="395" w:right="419"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color w:val="auto"/>
        </w:rPr>
        <w:t>CUSIP No. 282559103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Introductory Note: This Schedule 13G is filed on behalf of Venrock Healthcare Capital Partners II, L.P., a limited partnership organized under the laws of the State of Delaware (“VHCP II LP”), VHCP Co-Investment Holdings II, LLC, a limited liability company organized under the laws of the State of Delaware (“VHCP Co-Investment II”), Venrock Healthcare Capital Partners III, L.P., a limited partnership organized under the laws of the State of Delaware (“VHCP</w:t>
      </w:r>
    </w:p>
    <w:p>
      <w:pPr>
        <w:ind w:right="60" w:firstLine="8"/>
        <w:spacing w:after="0" w:line="253" w:lineRule="auto"/>
        <w:tabs>
          <w:tab w:leader="none" w:pos="22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LP”), VHCP Co-Investment Holdings III, LLC, a limited liability company organized under the laws of the State of Delaware (“VHCP Co-Investment III”), VHCP Management II, LLC, a limited liability company organized under the laws of the State of Delaware (“VHCP Management II”), VHCP Management III, LLC, a limited liability company organized under the laws of the State of Delaware (“VHCP Management III” and collectively with VHCP II LP, VHCP Co-Investment II, VHCP III LP, VHCP Co-Investment III and VHCP Management II, the “Venrock Entities”), Nimish Shah (“Shah”) and Bong Koh (“Koh”) in respect of Common Stock of 89bio,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ind w:left="1500" w:right="8820" w:hanging="493"/>
        <w:spacing w:after="0" w:line="316" w:lineRule="auto"/>
        <w:tabs>
          <w:tab w:leader="none" w:pos="1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Name of Issuer 89bio, Inc.</w:t>
      </w:r>
    </w:p>
    <w:p>
      <w:pPr>
        <w:spacing w:after="0" w:line="14" w:lineRule="exact"/>
        <w:rPr>
          <w:rFonts w:ascii="Arial" w:cs="Arial" w:eastAsia="Arial" w:hAnsi="Arial"/>
          <w:sz w:val="16"/>
          <w:szCs w:val="16"/>
          <w:color w:val="auto"/>
        </w:rPr>
      </w:pPr>
    </w:p>
    <w:p>
      <w:pPr>
        <w:ind w:left="1500" w:right="6500" w:hanging="493"/>
        <w:spacing w:after="0" w:line="258" w:lineRule="auto"/>
        <w:tabs>
          <w:tab w:leader="none" w:pos="1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 of Issuer’s Principal Executive Offices 535 Mission Street, 14th Floor</w:t>
      </w:r>
    </w:p>
    <w:p>
      <w:pPr>
        <w:spacing w:after="0" w:line="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San Francisco, CA 94105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5715</wp:posOffset>
            </wp:positionV>
            <wp:extent cx="62947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-456565</wp:posOffset>
            </wp:positionV>
            <wp:extent cx="62947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ind w:left="1500" w:hanging="493"/>
        <w:spacing w:after="0"/>
        <w:tabs>
          <w:tab w:leader="none" w:pos="1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9" w:lineRule="exact"/>
        <w:rPr>
          <w:rFonts w:ascii="Arial" w:cs="Arial" w:eastAsia="Arial" w:hAnsi="Arial"/>
          <w:sz w:val="18"/>
          <w:szCs w:val="18"/>
          <w:color w:val="auto"/>
        </w:rPr>
      </w:pPr>
    </w:p>
    <w:p>
      <w:pPr>
        <w:ind w:left="1500" w:right="6700"/>
        <w:spacing w:after="0" w:line="265" w:lineRule="auto"/>
        <w:rPr>
          <w:rFonts w:ascii="Arial" w:cs="Arial" w:eastAsia="Arial" w:hAnsi="Arial"/>
          <w:sz w:val="18"/>
          <w:szCs w:val="18"/>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VHCP Management II, LLC</w:t>
      </w:r>
    </w:p>
    <w:p>
      <w:pPr>
        <w:spacing w:after="0" w:line="1" w:lineRule="exact"/>
        <w:rPr>
          <w:rFonts w:ascii="Arial" w:cs="Arial" w:eastAsia="Arial" w:hAnsi="Arial"/>
          <w:sz w:val="18"/>
          <w:szCs w:val="18"/>
          <w:color w:val="auto"/>
        </w:rPr>
      </w:pPr>
    </w:p>
    <w:p>
      <w:pPr>
        <w:ind w:left="1500" w:right="7800"/>
        <w:spacing w:after="0" w:line="250" w:lineRule="auto"/>
        <w:rPr>
          <w:rFonts w:ascii="Arial" w:cs="Arial" w:eastAsia="Arial" w:hAnsi="Arial"/>
          <w:sz w:val="18"/>
          <w:szCs w:val="18"/>
          <w:color w:val="auto"/>
        </w:rPr>
      </w:pPr>
      <w:r>
        <w:rPr>
          <w:rFonts w:ascii="Arial" w:cs="Arial" w:eastAsia="Arial" w:hAnsi="Arial"/>
          <w:sz w:val="18"/>
          <w:szCs w:val="18"/>
          <w:color w:val="auto"/>
        </w:rPr>
        <w:t>VHCP Management III, LLC Nimish Shah</w:t>
      </w:r>
    </w:p>
    <w:p>
      <w:pPr>
        <w:ind w:left="1500"/>
        <w:spacing w:after="0"/>
        <w:rPr>
          <w:rFonts w:ascii="Arial" w:cs="Arial" w:eastAsia="Arial" w:hAnsi="Arial"/>
          <w:sz w:val="18"/>
          <w:szCs w:val="18"/>
          <w:color w:val="auto"/>
        </w:rPr>
      </w:pPr>
      <w:r>
        <w:rPr>
          <w:rFonts w:ascii="Arial" w:cs="Arial" w:eastAsia="Arial" w:hAnsi="Arial"/>
          <w:sz w:val="18"/>
          <w:szCs w:val="18"/>
          <w:color w:val="auto"/>
        </w:rPr>
        <w:t>Bong Koh</w:t>
      </w:r>
    </w:p>
    <w:p>
      <w:pPr>
        <w:spacing w:after="0" w:line="75" w:lineRule="exact"/>
        <w:rPr>
          <w:rFonts w:ascii="Arial" w:cs="Arial" w:eastAsia="Arial" w:hAnsi="Arial"/>
          <w:sz w:val="18"/>
          <w:szCs w:val="18"/>
          <w:color w:val="auto"/>
        </w:rPr>
      </w:pPr>
    </w:p>
    <w:p>
      <w:pPr>
        <w:ind w:left="1500" w:hanging="493"/>
        <w:spacing w:after="0"/>
        <w:tabs>
          <w:tab w:leader="none" w:pos="1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-173355</wp:posOffset>
            </wp:positionV>
            <wp:extent cx="62947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pacing w:after="0" w:line="205" w:lineRule="exact"/>
        <w:rPr>
          <w:sz w:val="20"/>
          <w:szCs w:val="20"/>
          <w:color w:val="auto"/>
        </w:rPr>
      </w:pPr>
    </w:p>
    <w:tbl>
      <w:tblPr>
        <w:tblLayout w:type="fixed"/>
        <w:tblInd w:w="150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New York Office:</w:t>
            </w:r>
          </w:p>
        </w:tc>
        <w:tc>
          <w:tcPr>
            <w:tcW w:w="7380" w:type="dxa"/>
            <w:vAlign w:val="bottom"/>
          </w:tcPr>
          <w:p>
            <w:pPr>
              <w:ind w:left="960"/>
              <w:spacing w:after="0"/>
              <w:rPr>
                <w:sz w:val="20"/>
                <w:szCs w:val="20"/>
                <w:color w:val="auto"/>
              </w:rPr>
            </w:pPr>
            <w:r>
              <w:rPr>
                <w:rFonts w:ascii="Arial" w:cs="Arial" w:eastAsia="Arial" w:hAnsi="Arial"/>
                <w:sz w:val="18"/>
                <w:szCs w:val="18"/>
                <w:color w:val="auto"/>
              </w:rPr>
              <w:t>Palo Alto Office:</w:t>
            </w:r>
          </w:p>
        </w:tc>
      </w:tr>
      <w:tr>
        <w:trPr>
          <w:trHeight w:val="418"/>
        </w:trPr>
        <w:tc>
          <w:tcPr>
            <w:tcW w:w="2540" w:type="dxa"/>
            <w:vAlign w:val="bottom"/>
          </w:tcPr>
          <w:p>
            <w:pPr>
              <w:spacing w:after="0"/>
              <w:rPr>
                <w:sz w:val="20"/>
                <w:szCs w:val="20"/>
                <w:color w:val="auto"/>
              </w:rPr>
            </w:pPr>
            <w:r>
              <w:rPr>
                <w:rFonts w:ascii="Arial" w:cs="Arial" w:eastAsia="Arial" w:hAnsi="Arial"/>
                <w:sz w:val="18"/>
                <w:szCs w:val="18"/>
                <w:color w:val="auto"/>
              </w:rPr>
              <w:t>7 Bryant Park</w:t>
            </w:r>
          </w:p>
        </w:tc>
        <w:tc>
          <w:tcPr>
            <w:tcW w:w="7380" w:type="dxa"/>
            <w:vAlign w:val="bottom"/>
          </w:tcPr>
          <w:p>
            <w:pPr>
              <w:ind w:left="960"/>
              <w:spacing w:after="0"/>
              <w:rPr>
                <w:sz w:val="20"/>
                <w:szCs w:val="20"/>
                <w:color w:val="auto"/>
              </w:rPr>
            </w:pPr>
            <w:r>
              <w:rPr>
                <w:rFonts w:ascii="Arial" w:cs="Arial" w:eastAsia="Arial" w:hAnsi="Arial"/>
                <w:sz w:val="18"/>
                <w:szCs w:val="18"/>
                <w:color w:val="auto"/>
              </w:rPr>
              <w:t>3340 Hillview Avenue</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23rd Floor</w:t>
            </w:r>
          </w:p>
        </w:tc>
        <w:tc>
          <w:tcPr>
            <w:tcW w:w="7380" w:type="dxa"/>
            <w:vAlign w:val="bottom"/>
          </w:tcPr>
          <w:p>
            <w:pPr>
              <w:ind w:left="960"/>
              <w:spacing w:after="0"/>
              <w:rPr>
                <w:sz w:val="20"/>
                <w:szCs w:val="20"/>
                <w:color w:val="auto"/>
              </w:rPr>
            </w:pPr>
            <w:r>
              <w:rPr>
                <w:rFonts w:ascii="Arial" w:cs="Arial" w:eastAsia="Arial" w:hAnsi="Arial"/>
                <w:sz w:val="18"/>
                <w:szCs w:val="18"/>
                <w:color w:val="auto"/>
              </w:rPr>
              <w:t>Palo Alto, CA 94304</w:t>
            </w:r>
          </w:p>
        </w:tc>
      </w:tr>
      <w:tr>
        <w:trPr>
          <w:trHeight w:val="230"/>
        </w:trPr>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New York, NY 10018</w:t>
            </w:r>
          </w:p>
        </w:tc>
        <w:tc>
          <w:tcPr>
            <w:tcW w:w="7380" w:type="dxa"/>
            <w:vAlign w:val="bottom"/>
            <w:tcBorders>
              <w:bottom w:val="single" w:sz="8" w:color="auto"/>
            </w:tcBorders>
          </w:tcPr>
          <w:p>
            <w:pPr>
              <w:spacing w:after="0"/>
              <w:rPr>
                <w:sz w:val="20"/>
                <w:szCs w:val="20"/>
                <w:color w:val="auto"/>
              </w:rPr>
            </w:pPr>
          </w:p>
        </w:tc>
      </w:tr>
    </w:tbl>
    <w:p>
      <w:pPr>
        <w:spacing w:after="0" w:line="53" w:lineRule="exact"/>
        <w:rPr>
          <w:sz w:val="20"/>
          <w:szCs w:val="20"/>
          <w:color w:val="auto"/>
        </w:rPr>
      </w:pPr>
    </w:p>
    <w:p>
      <w:pPr>
        <w:ind w:left="1500" w:hanging="493"/>
        <w:spacing w:after="0"/>
        <w:tabs>
          <w:tab w:leader="none" w:pos="1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All of the Venrock Entities were organized in Delaware. The individuals are both United States citizens.</w:t>
      </w:r>
    </w:p>
    <w:p>
      <w:pPr>
        <w:spacing w:after="0" w:line="75" w:lineRule="exact"/>
        <w:rPr>
          <w:rFonts w:ascii="Arial" w:cs="Arial" w:eastAsia="Arial" w:hAnsi="Arial"/>
          <w:sz w:val="18"/>
          <w:szCs w:val="18"/>
          <w:color w:val="auto"/>
        </w:rPr>
      </w:pPr>
    </w:p>
    <w:p>
      <w:pPr>
        <w:ind w:left="1500" w:hanging="493"/>
        <w:spacing w:after="0"/>
        <w:tabs>
          <w:tab w:leader="none" w:pos="1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Common Stock, par value $0.001 per share</w:t>
      </w:r>
    </w:p>
    <w:p>
      <w:pPr>
        <w:spacing w:after="0" w:line="75" w:lineRule="exact"/>
        <w:rPr>
          <w:rFonts w:ascii="Arial" w:cs="Arial" w:eastAsia="Arial" w:hAnsi="Arial"/>
          <w:sz w:val="18"/>
          <w:szCs w:val="18"/>
          <w:color w:val="auto"/>
        </w:rPr>
      </w:pPr>
    </w:p>
    <w:p>
      <w:pPr>
        <w:ind w:left="1500" w:right="8760" w:hanging="493"/>
        <w:spacing w:after="0" w:line="342" w:lineRule="auto"/>
        <w:tabs>
          <w:tab w:leader="none" w:pos="1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CUSIP Number 282559103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-48895</wp:posOffset>
            </wp:positionV>
            <wp:extent cx="62947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-374650</wp:posOffset>
            </wp:positionV>
            <wp:extent cx="62947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-700405</wp:posOffset>
            </wp:positionV>
            <wp:extent cx="62947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color w:val="auto"/>
        </w:rPr>
        <w:t>CUSIP No. 282559103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580" w:type="dxa"/>
            <w:vAlign w:val="bottom"/>
            <w:gridSpan w:val="4"/>
          </w:tcPr>
          <w:p>
            <w:pPr>
              <w:ind w:left="40"/>
              <w:spacing w:after="0"/>
              <w:rPr>
                <w:sz w:val="20"/>
                <w:szCs w:val="20"/>
                <w:color w:val="auto"/>
              </w:rPr>
            </w:pPr>
            <w:r>
              <w:rPr>
                <w:rFonts w:ascii="Arial" w:cs="Arial" w:eastAsia="Arial" w:hAnsi="Arial"/>
                <w:sz w:val="18"/>
                <w:szCs w:val="18"/>
                <w:b w:val="1"/>
                <w:bCs w:val="1"/>
                <w:color w:val="auto"/>
                <w:w w:val="90"/>
              </w:rPr>
              <w:t>If this statement is filed pursuant to §§240.13d-1(b), or 240.13d-2(b) or (c), check whether the person filing is a:</w:t>
            </w: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6"/>
              </w:rPr>
              <w:t>Not applicable</w:t>
            </w:r>
          </w:p>
        </w:tc>
        <w:tc>
          <w:tcPr>
            <w:tcW w:w="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6620" w:type="dxa"/>
            <w:vAlign w:val="bottom"/>
            <w:gridSpan w:val="3"/>
          </w:tcPr>
          <w:p>
            <w:pPr>
              <w:ind w:left="40"/>
              <w:spacing w:after="0"/>
              <w:rPr>
                <w:sz w:val="20"/>
                <w:szCs w:val="20"/>
                <w:color w:val="auto"/>
              </w:rPr>
            </w:pPr>
            <w:r>
              <w:rPr>
                <w:rFonts w:ascii="Arial" w:cs="Arial" w:eastAsia="Arial" w:hAnsi="Arial"/>
                <w:sz w:val="18"/>
                <w:szCs w:val="18"/>
                <w:b w:val="1"/>
                <w:bCs w:val="1"/>
                <w:color w:val="auto"/>
              </w:rPr>
              <w:t>Ownership</w:t>
            </w: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1120" w:type="dxa"/>
            <w:vAlign w:val="bottom"/>
          </w:tcPr>
          <w:p>
            <w:pPr>
              <w:spacing w:after="0"/>
              <w:rPr>
                <w:sz w:val="23"/>
                <w:szCs w:val="23"/>
                <w:color w:val="auto"/>
              </w:rPr>
            </w:pPr>
          </w:p>
        </w:tc>
        <w:tc>
          <w:tcPr>
            <w:tcW w:w="6620" w:type="dxa"/>
            <w:vAlign w:val="bottom"/>
            <w:gridSpan w:val="3"/>
          </w:tcPr>
          <w:p>
            <w:pPr>
              <w:ind w:left="180"/>
              <w:spacing w:after="0"/>
              <w:rPr>
                <w:sz w:val="20"/>
                <w:szCs w:val="20"/>
                <w:color w:val="auto"/>
              </w:rPr>
            </w:pPr>
            <w:r>
              <w:rPr>
                <w:rFonts w:ascii="Arial" w:cs="Arial" w:eastAsia="Arial" w:hAnsi="Arial"/>
                <w:sz w:val="18"/>
                <w:szCs w:val="18"/>
                <w:color w:val="auto"/>
              </w:rPr>
              <w:t>(a)  Amount Beneficially Owned as of November 25, 2019:</w:t>
            </w:r>
          </w:p>
        </w:tc>
        <w:tc>
          <w:tcPr>
            <w:tcW w:w="19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176"/>
        </w:trPr>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1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1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 LLC</w:t>
            </w:r>
          </w:p>
        </w:tc>
        <w:tc>
          <w:tcPr>
            <w:tcW w:w="1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VHCP Management III, LLC</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1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Bong Koh</w:t>
            </w: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64"/>
        </w:trPr>
        <w:tc>
          <w:tcPr>
            <w:tcW w:w="1120" w:type="dxa"/>
            <w:vAlign w:val="bottom"/>
          </w:tcPr>
          <w:p>
            <w:pPr>
              <w:spacing w:after="0"/>
              <w:rPr>
                <w:sz w:val="22"/>
                <w:szCs w:val="22"/>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(b)  Percent of Class as of November 25, 2019:</w:t>
            </w:r>
          </w:p>
        </w:tc>
        <w:tc>
          <w:tcPr>
            <w:tcW w:w="19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76"/>
        </w:trPr>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1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7.3%</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1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7.3%</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 LLC</w:t>
            </w:r>
          </w:p>
        </w:tc>
        <w:tc>
          <w:tcPr>
            <w:tcW w:w="1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VHCP Management III, LLC</w:t>
            </w: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7.3%</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1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Bong Koh</w:t>
            </w:r>
          </w:p>
        </w:tc>
        <w:tc>
          <w:tcPr>
            <w:tcW w:w="1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7.3%</w:t>
            </w:r>
          </w:p>
        </w:tc>
        <w:tc>
          <w:tcPr>
            <w:tcW w:w="17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64"/>
        </w:trPr>
        <w:tc>
          <w:tcPr>
            <w:tcW w:w="1120" w:type="dxa"/>
            <w:vAlign w:val="bottom"/>
          </w:tcPr>
          <w:p>
            <w:pPr>
              <w:spacing w:after="0"/>
              <w:rPr>
                <w:sz w:val="22"/>
                <w:szCs w:val="22"/>
                <w:color w:val="auto"/>
              </w:rPr>
            </w:pPr>
          </w:p>
        </w:tc>
        <w:tc>
          <w:tcPr>
            <w:tcW w:w="6620" w:type="dxa"/>
            <w:vAlign w:val="bottom"/>
            <w:gridSpan w:val="3"/>
          </w:tcPr>
          <w:p>
            <w:pPr>
              <w:ind w:left="180"/>
              <w:spacing w:after="0"/>
              <w:rPr>
                <w:sz w:val="20"/>
                <w:szCs w:val="20"/>
                <w:color w:val="auto"/>
              </w:rPr>
            </w:pPr>
            <w:r>
              <w:rPr>
                <w:rFonts w:ascii="Arial" w:cs="Arial" w:eastAsia="Arial" w:hAnsi="Arial"/>
                <w:sz w:val="18"/>
                <w:szCs w:val="18"/>
                <w:color w:val="auto"/>
              </w:rPr>
              <w:t>(c)  Number of shares as to which the person has, as of November 25, 2019:</w:t>
            </w:r>
          </w:p>
        </w:tc>
        <w:tc>
          <w:tcPr>
            <w:tcW w:w="19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24"/>
        </w:trPr>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20" w:type="dxa"/>
            <w:vAlign w:val="bottom"/>
            <w:tcBorders>
              <w:bottom w:val="single" w:sz="8" w:color="auto"/>
            </w:tcBorders>
            <w:gridSpan w:val="2"/>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64"/>
        </w:trPr>
        <w:tc>
          <w:tcPr>
            <w:tcW w:w="1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120" w:type="dxa"/>
            <w:vAlign w:val="bottom"/>
            <w:gridSpan w:val="2"/>
          </w:tcPr>
          <w:p>
            <w:pPr>
              <w:ind w:left="240"/>
              <w:spacing w:after="0"/>
              <w:rPr>
                <w:sz w:val="20"/>
                <w:szCs w:val="20"/>
                <w:color w:val="auto"/>
              </w:rPr>
            </w:pPr>
            <w:r>
              <w:rPr>
                <w:rFonts w:ascii="Arial" w:cs="Arial" w:eastAsia="Arial" w:hAnsi="Arial"/>
                <w:sz w:val="18"/>
                <w:szCs w:val="18"/>
                <w:color w:val="auto"/>
              </w:rPr>
              <w:t>(i)   Sole power to vote or to direct the vote</w:t>
            </w:r>
          </w:p>
        </w:tc>
        <w:tc>
          <w:tcPr>
            <w:tcW w:w="19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76"/>
        </w:trPr>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1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19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1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19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 LLC</w:t>
            </w:r>
          </w:p>
        </w:tc>
        <w:tc>
          <w:tcPr>
            <w:tcW w:w="1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VHCP Management III, LLC</w:t>
            </w:r>
          </w:p>
        </w:tc>
        <w:tc>
          <w:tcPr>
            <w:tcW w:w="19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1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Bong Koh</w:t>
            </w:r>
          </w:p>
        </w:tc>
        <w:tc>
          <w:tcPr>
            <w:tcW w:w="1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426"/>
        </w:trPr>
        <w:tc>
          <w:tcPr>
            <w:tcW w:w="1120" w:type="dxa"/>
            <w:vAlign w:val="bottom"/>
          </w:tcPr>
          <w:p>
            <w:pPr>
              <w:spacing w:after="0"/>
              <w:rPr>
                <w:sz w:val="24"/>
                <w:szCs w:val="24"/>
                <w:color w:val="auto"/>
              </w:rPr>
            </w:pPr>
          </w:p>
        </w:tc>
        <w:tc>
          <w:tcPr>
            <w:tcW w:w="6620" w:type="dxa"/>
            <w:vAlign w:val="bottom"/>
            <w:gridSpan w:val="3"/>
          </w:tcPr>
          <w:p>
            <w:pPr>
              <w:ind w:left="4500"/>
              <w:spacing w:after="0"/>
              <w:rPr>
                <w:sz w:val="20"/>
                <w:szCs w:val="20"/>
                <w:color w:val="auto"/>
              </w:rPr>
            </w:pPr>
            <w:r>
              <w:rPr>
                <w:rFonts w:ascii="Arial" w:cs="Arial" w:eastAsia="Arial" w:hAnsi="Arial"/>
                <w:sz w:val="18"/>
                <w:szCs w:val="18"/>
                <w:color w:val="auto"/>
              </w:rPr>
              <w:t>11</w:t>
            </w: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4580" w:type="dxa"/>
            <w:vAlign w:val="bottom"/>
            <w:tcBorders>
              <w:bottom w:val="single" w:sz="8" w:color="808080"/>
            </w:tcBorders>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95" w:right="199"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color w:val="auto"/>
        </w:rPr>
        <w:t>CUSIP No. 282559103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5900" w:type="dxa"/>
            <w:vAlign w:val="bottom"/>
            <w:gridSpan w:val="2"/>
          </w:tcPr>
          <w:p>
            <w:pPr>
              <w:ind w:left="220"/>
              <w:spacing w:after="0"/>
              <w:rPr>
                <w:sz w:val="20"/>
                <w:szCs w:val="20"/>
                <w:color w:val="auto"/>
              </w:rPr>
            </w:pPr>
            <w:r>
              <w:rPr>
                <w:rFonts w:ascii="Arial" w:cs="Arial" w:eastAsia="Arial" w:hAnsi="Arial"/>
                <w:sz w:val="18"/>
                <w:szCs w:val="18"/>
                <w:color w:val="auto"/>
              </w:rPr>
              <w:t>(ii)   Shared power to vote or to direct the vote</w:t>
            </w:r>
          </w:p>
        </w:tc>
        <w:tc>
          <w:tcPr>
            <w:tcW w:w="21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76"/>
        </w:trPr>
        <w:tc>
          <w:tcPr>
            <w:tcW w:w="15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6"/>
        </w:trPr>
        <w:tc>
          <w:tcPr>
            <w:tcW w:w="154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2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 LLC</w:t>
            </w:r>
          </w:p>
        </w:tc>
        <w:tc>
          <w:tcPr>
            <w:tcW w:w="2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VHCP Management III, LLC</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2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Pr>
          <w:p>
            <w:pPr>
              <w:spacing w:after="0"/>
              <w:rPr>
                <w:sz w:val="18"/>
                <w:szCs w:val="18"/>
                <w:color w:val="auto"/>
              </w:rPr>
            </w:pPr>
          </w:p>
        </w:tc>
      </w:tr>
      <w:tr>
        <w:trPr>
          <w:trHeight w:val="230"/>
        </w:trPr>
        <w:tc>
          <w:tcPr>
            <w:tcW w:w="154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Bong Koh</w:t>
            </w:r>
          </w:p>
        </w:tc>
        <w:tc>
          <w:tcPr>
            <w:tcW w:w="2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Borders>
              <w:bottom w:val="single" w:sz="8" w:color="auto"/>
            </w:tcBorders>
          </w:tcPr>
          <w:p>
            <w:pPr>
              <w:spacing w:after="0"/>
              <w:rPr>
                <w:sz w:val="19"/>
                <w:szCs w:val="19"/>
                <w:color w:val="auto"/>
              </w:rPr>
            </w:pPr>
          </w:p>
        </w:tc>
      </w:tr>
    </w:tbl>
    <w:p>
      <w:pPr>
        <w:spacing w:after="0" w:line="40"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200" w:type="dxa"/>
            <w:vAlign w:val="bottom"/>
            <w:gridSpan w:val="2"/>
          </w:tcPr>
          <w:p>
            <w:pPr>
              <w:ind w:left="200"/>
              <w:spacing w:after="0"/>
              <w:rPr>
                <w:sz w:val="20"/>
                <w:szCs w:val="20"/>
                <w:color w:val="auto"/>
              </w:rPr>
            </w:pPr>
            <w:r>
              <w:rPr>
                <w:rFonts w:ascii="Arial" w:cs="Arial" w:eastAsia="Arial" w:hAnsi="Arial"/>
                <w:sz w:val="18"/>
                <w:szCs w:val="18"/>
                <w:color w:val="auto"/>
              </w:rPr>
              <w:t>(iii)  Sole power to dispose or to direct the disposition of</w:t>
            </w:r>
          </w:p>
        </w:tc>
        <w:tc>
          <w:tcPr>
            <w:tcW w:w="18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76"/>
        </w:trPr>
        <w:tc>
          <w:tcPr>
            <w:tcW w:w="154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6"/>
        </w:trPr>
        <w:tc>
          <w:tcPr>
            <w:tcW w:w="15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1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1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 LLC</w:t>
            </w:r>
          </w:p>
        </w:tc>
        <w:tc>
          <w:tcPr>
            <w:tcW w:w="1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VHCP Management III, LLC</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1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8"/>
                <w:szCs w:val="18"/>
                <w:color w:val="auto"/>
              </w:rPr>
            </w:pPr>
          </w:p>
        </w:tc>
      </w:tr>
      <w:tr>
        <w:trPr>
          <w:trHeight w:val="230"/>
        </w:trPr>
        <w:tc>
          <w:tcPr>
            <w:tcW w:w="1540" w:type="dxa"/>
            <w:vAlign w:val="bottom"/>
            <w:tcBorders>
              <w:bottom w:val="single" w:sz="8" w:color="auto"/>
            </w:tcBorders>
          </w:tcPr>
          <w:p>
            <w:pPr>
              <w:spacing w:after="0"/>
              <w:rPr>
                <w:sz w:val="19"/>
                <w:szCs w:val="19"/>
                <w:color w:val="auto"/>
              </w:rPr>
            </w:pP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Bong Koh</w:t>
            </w:r>
          </w:p>
        </w:tc>
        <w:tc>
          <w:tcPr>
            <w:tcW w:w="1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tcBorders>
          </w:tcPr>
          <w:p>
            <w:pPr>
              <w:spacing w:after="0"/>
              <w:rPr>
                <w:sz w:val="19"/>
                <w:szCs w:val="19"/>
                <w:color w:val="auto"/>
              </w:rPr>
            </w:pPr>
          </w:p>
        </w:tc>
      </w:tr>
    </w:tbl>
    <w:p>
      <w:pPr>
        <w:spacing w:after="0" w:line="40"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5900" w:type="dxa"/>
            <w:vAlign w:val="bottom"/>
            <w:gridSpan w:val="2"/>
          </w:tcPr>
          <w:p>
            <w:pPr>
              <w:ind w:left="200"/>
              <w:spacing w:after="0"/>
              <w:rPr>
                <w:sz w:val="20"/>
                <w:szCs w:val="20"/>
                <w:color w:val="auto"/>
              </w:rPr>
            </w:pPr>
            <w:r>
              <w:rPr>
                <w:rFonts w:ascii="Arial" w:cs="Arial" w:eastAsia="Arial" w:hAnsi="Arial"/>
                <w:sz w:val="18"/>
                <w:szCs w:val="18"/>
                <w:color w:val="auto"/>
              </w:rPr>
              <w:t>(iv)  Shared power to dispose or to direct the disposition of</w:t>
            </w:r>
          </w:p>
        </w:tc>
        <w:tc>
          <w:tcPr>
            <w:tcW w:w="21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76"/>
        </w:trPr>
        <w:tc>
          <w:tcPr>
            <w:tcW w:w="15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6"/>
        </w:trPr>
        <w:tc>
          <w:tcPr>
            <w:tcW w:w="154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2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 LLC</w:t>
            </w:r>
          </w:p>
        </w:tc>
        <w:tc>
          <w:tcPr>
            <w:tcW w:w="2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VHCP Management III, LLC</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2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Pr>
          <w:p>
            <w:pPr>
              <w:spacing w:after="0"/>
              <w:rPr>
                <w:sz w:val="18"/>
                <w:szCs w:val="18"/>
                <w:color w:val="auto"/>
              </w:rPr>
            </w:pPr>
          </w:p>
        </w:tc>
      </w:tr>
      <w:tr>
        <w:trPr>
          <w:trHeight w:val="230"/>
        </w:trPr>
        <w:tc>
          <w:tcPr>
            <w:tcW w:w="154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Bong Koh</w:t>
            </w:r>
          </w:p>
        </w:tc>
        <w:tc>
          <w:tcPr>
            <w:tcW w:w="2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1,000,000(1)</w:t>
            </w:r>
          </w:p>
        </w:tc>
        <w:tc>
          <w:tcPr>
            <w:tcW w:w="17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80" w:hanging="332"/>
        <w:spacing w:after="0" w:line="255" w:lineRule="auto"/>
        <w:tabs>
          <w:tab w:leader="none" w:pos="3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shares are owned directly as follows: 29,339 shares are owned by Venrock Healthcare Capital Partners II, L.P., 11,896 shares are owned by VHCP Co-Investment Holdings II, LLC, 871,613 shares are owned by Venrock Healthcare Capital Partners III, L.P. and 87,152 shares are owned by VHCP Co-Investment Holdings III, LLC. VHCP Management II, LLC is the general partner of Venrock Healthcare Capital Partners II, L.P. and the manager of VHCP Co-Investment Holdings II, LLC. VHCP Management III, LLC is the general partner of Venrock Healthcare Capital Partners III, L.P. and the manager of VHCP Co-Investment Holdings III, LLC. Messrs. Shah and Koh are the voting members of VHCP Management II, LLC and VHCP Management III, LLC.</w:t>
      </w:r>
    </w:p>
    <w:p>
      <w:pPr>
        <w:spacing w:after="0" w:line="18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6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 w:name="page13"/>
    <w:bookmarkEnd w:id="12"/>
    <w:p>
      <w:pPr>
        <w:ind w:left="60"/>
        <w:spacing w:after="0"/>
        <w:rPr>
          <w:sz w:val="20"/>
          <w:szCs w:val="20"/>
          <w:color w:val="auto"/>
        </w:rPr>
      </w:pPr>
      <w:r>
        <w:rPr>
          <w:rFonts w:ascii="Arial" w:cs="Arial" w:eastAsia="Arial" w:hAnsi="Arial"/>
          <w:sz w:val="16"/>
          <w:szCs w:val="16"/>
          <w:color w:val="auto"/>
        </w:rPr>
        <w:t>CUSIP No. 282559103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p>
      <w:pPr>
        <w:spacing w:after="0" w:line="312" w:lineRule="exact"/>
        <w:rPr>
          <w:sz w:val="20"/>
          <w:szCs w:val="20"/>
          <w:color w:val="auto"/>
        </w:rPr>
      </w:pPr>
    </w:p>
    <w:p>
      <w:pPr>
        <w:ind w:left="1260" w:hanging="1242"/>
        <w:spacing w:after="0" w:line="282" w:lineRule="auto"/>
        <w:tabs>
          <w:tab w:leader="none" w:pos="12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color w:val="auto"/>
        </w:rPr>
        <w:t>CUSIP No. 282559103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6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25, 2019</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4"/>
          </w:tcPr>
          <w:p>
            <w:pPr>
              <w:spacing w:after="0"/>
              <w:rPr>
                <w:sz w:val="20"/>
                <w:szCs w:val="20"/>
                <w:color w:val="auto"/>
              </w:rPr>
            </w:pPr>
            <w:r>
              <w:rPr>
                <w:rFonts w:ascii="Arial" w:cs="Arial" w:eastAsia="Arial" w:hAnsi="Arial"/>
                <w:sz w:val="18"/>
                <w:szCs w:val="18"/>
                <w:b w:val="1"/>
                <w:bCs w:val="1"/>
                <w:color w:val="auto"/>
              </w:rPr>
              <w:t>Venrock Healthcare Capital Partners II, L.P.</w:t>
            </w:r>
          </w:p>
        </w:tc>
        <w:tc>
          <w:tcPr>
            <w:tcW w:w="5900" w:type="dxa"/>
            <w:vAlign w:val="bottom"/>
            <w:gridSpan w:val="3"/>
          </w:tcPr>
          <w:p>
            <w:pPr>
              <w:ind w:left="440"/>
              <w:spacing w:after="0"/>
              <w:rPr>
                <w:sz w:val="20"/>
                <w:szCs w:val="20"/>
                <w:color w:val="auto"/>
              </w:rPr>
            </w:pPr>
            <w:r>
              <w:rPr>
                <w:rFonts w:ascii="Arial" w:cs="Arial" w:eastAsia="Arial" w:hAnsi="Arial"/>
                <w:sz w:val="18"/>
                <w:szCs w:val="18"/>
                <w:b w:val="1"/>
                <w:bCs w:val="1"/>
                <w:color w:val="auto"/>
              </w:rPr>
              <w:t>Venrock Healthcare Capital Partners III, L.P.</w:t>
            </w:r>
          </w:p>
        </w:tc>
        <w:tc>
          <w:tcPr>
            <w:tcW w:w="40" w:type="dxa"/>
            <w:vAlign w:val="bottom"/>
          </w:tcPr>
          <w:p>
            <w:pPr>
              <w:spacing w:after="0"/>
              <w:rPr>
                <w:sz w:val="20"/>
                <w:szCs w:val="20"/>
                <w:color w:val="auto"/>
              </w:rPr>
            </w:pPr>
          </w:p>
        </w:tc>
      </w:tr>
      <w:tr>
        <w:trPr>
          <w:trHeight w:val="418"/>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VHCP Management II, LLC</w:t>
            </w:r>
          </w:p>
        </w:tc>
        <w:tc>
          <w:tcPr>
            <w:tcW w:w="980" w:type="dxa"/>
            <w:vAlign w:val="bottom"/>
          </w:tcPr>
          <w:p>
            <w:pPr>
              <w:ind w:left="440"/>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spacing w:after="0"/>
              <w:rPr>
                <w:sz w:val="20"/>
                <w:szCs w:val="20"/>
                <w:color w:val="auto"/>
              </w:rPr>
            </w:pPr>
            <w:r>
              <w:rPr>
                <w:rFonts w:ascii="Arial" w:cs="Arial" w:eastAsia="Arial" w:hAnsi="Arial"/>
                <w:sz w:val="18"/>
                <w:szCs w:val="18"/>
                <w:color w:val="auto"/>
              </w:rPr>
              <w:t>VHCP Management III, LLC</w:t>
            </w:r>
          </w:p>
        </w:tc>
        <w:tc>
          <w:tcPr>
            <w:tcW w:w="40" w:type="dxa"/>
            <w:vAlign w:val="bottom"/>
          </w:tcPr>
          <w:p>
            <w:pPr>
              <w:spacing w:after="0"/>
              <w:rPr>
                <w:sz w:val="24"/>
                <w:szCs w:val="24"/>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Its:</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General Partner</w:t>
            </w:r>
          </w:p>
        </w:tc>
        <w:tc>
          <w:tcPr>
            <w:tcW w:w="980" w:type="dxa"/>
            <w:vAlign w:val="bottom"/>
          </w:tcPr>
          <w:p>
            <w:pPr>
              <w:ind w:left="440"/>
              <w:spacing w:after="0"/>
              <w:rPr>
                <w:sz w:val="20"/>
                <w:szCs w:val="20"/>
                <w:color w:val="auto"/>
              </w:rPr>
            </w:pPr>
            <w:r>
              <w:rPr>
                <w:rFonts w:ascii="Arial" w:cs="Arial" w:eastAsia="Arial" w:hAnsi="Arial"/>
                <w:sz w:val="18"/>
                <w:szCs w:val="18"/>
                <w:color w:val="auto"/>
              </w:rPr>
              <w:t>Its:</w:t>
            </w:r>
          </w:p>
        </w:tc>
        <w:tc>
          <w:tcPr>
            <w:tcW w:w="492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40" w:type="dxa"/>
            <w:vAlign w:val="bottom"/>
          </w:tcPr>
          <w:p>
            <w:pPr>
              <w:spacing w:after="0"/>
              <w:rPr>
                <w:sz w:val="20"/>
                <w:szCs w:val="20"/>
                <w:color w:val="auto"/>
              </w:rPr>
            </w:pP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/s/ David L. Stepp</w:t>
            </w:r>
          </w:p>
        </w:tc>
        <w:tc>
          <w:tcPr>
            <w:tcW w:w="980" w:type="dxa"/>
            <w:vAlign w:val="bottom"/>
          </w:tcPr>
          <w:p>
            <w:pPr>
              <w:ind w:left="440"/>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spacing w:after="0"/>
              <w:rPr>
                <w:sz w:val="20"/>
                <w:szCs w:val="20"/>
                <w:color w:val="auto"/>
              </w:rPr>
            </w:pPr>
            <w:r>
              <w:rPr>
                <w:rFonts w:ascii="Arial" w:cs="Arial" w:eastAsia="Arial" w:hAnsi="Arial"/>
                <w:sz w:val="18"/>
                <w:szCs w:val="18"/>
                <w:color w:val="auto"/>
              </w:rPr>
              <w:t>/s/ David L. Stepp</w:t>
            </w:r>
          </w:p>
        </w:tc>
        <w:tc>
          <w:tcPr>
            <w:tcW w:w="40" w:type="dxa"/>
            <w:vAlign w:val="bottom"/>
          </w:tcPr>
          <w:p>
            <w:pPr>
              <w:spacing w:after="0"/>
              <w:rPr>
                <w:sz w:val="24"/>
                <w:szCs w:val="24"/>
                <w:color w:val="auto"/>
              </w:rPr>
            </w:pPr>
          </w:p>
        </w:tc>
      </w:tr>
      <w:tr>
        <w:trPr>
          <w:trHeight w:val="195"/>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3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David L. Stepp</w:t>
            </w:r>
          </w:p>
        </w:tc>
        <w:tc>
          <w:tcPr>
            <w:tcW w:w="980" w:type="dxa"/>
            <w:vAlign w:val="bottom"/>
          </w:tcPr>
          <w:p>
            <w:pPr>
              <w:spacing w:after="0"/>
              <w:rPr>
                <w:sz w:val="16"/>
                <w:szCs w:val="16"/>
                <w:color w:val="auto"/>
              </w:rPr>
            </w:pPr>
          </w:p>
        </w:tc>
        <w:tc>
          <w:tcPr>
            <w:tcW w:w="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2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David L. Stepp</w:t>
            </w:r>
          </w:p>
        </w:tc>
        <w:tc>
          <w:tcPr>
            <w:tcW w:w="40" w:type="dxa"/>
            <w:vAlign w:val="bottom"/>
          </w:tcPr>
          <w:p>
            <w:pPr>
              <w:spacing w:after="0"/>
              <w:rPr>
                <w:sz w:val="16"/>
                <w:szCs w:val="16"/>
                <w:color w:val="auto"/>
              </w:rPr>
            </w:pPr>
          </w:p>
        </w:tc>
      </w:tr>
      <w:tr>
        <w:trPr>
          <w:trHeight w:val="230"/>
        </w:trPr>
        <w:tc>
          <w:tcPr>
            <w:tcW w:w="380" w:type="dxa"/>
            <w:vAlign w:val="bottom"/>
          </w:tcPr>
          <w:p>
            <w:pPr>
              <w:spacing w:after="0"/>
              <w:rPr>
                <w:sz w:val="20"/>
                <w:szCs w:val="20"/>
                <w:color w:val="auto"/>
              </w:rPr>
            </w:pP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Its:</w:t>
            </w:r>
          </w:p>
        </w:tc>
        <w:tc>
          <w:tcPr>
            <w:tcW w:w="4320" w:type="dxa"/>
            <w:vAlign w:val="bottom"/>
          </w:tcPr>
          <w:p>
            <w:pPr>
              <w:ind w:left="60"/>
              <w:spacing w:after="0"/>
              <w:rPr>
                <w:sz w:val="20"/>
                <w:szCs w:val="20"/>
                <w:color w:val="auto"/>
              </w:rPr>
            </w:pPr>
            <w:r>
              <w:rPr>
                <w:rFonts w:ascii="Arial" w:cs="Arial" w:eastAsia="Arial" w:hAnsi="Arial"/>
                <w:sz w:val="18"/>
                <w:szCs w:val="18"/>
                <w:color w:val="auto"/>
              </w:rPr>
              <w:t>Authorized Signatory</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4240" w:type="dxa"/>
            <w:vAlign w:val="bottom"/>
          </w:tcPr>
          <w:p>
            <w:pPr>
              <w:ind w:left="60"/>
              <w:spacing w:after="0"/>
              <w:rPr>
                <w:sz w:val="20"/>
                <w:szCs w:val="20"/>
                <w:color w:val="auto"/>
              </w:rPr>
            </w:pPr>
            <w:r>
              <w:rPr>
                <w:rFonts w:ascii="Arial" w:cs="Arial" w:eastAsia="Arial" w:hAnsi="Arial"/>
                <w:sz w:val="18"/>
                <w:szCs w:val="18"/>
                <w:color w:val="auto"/>
              </w:rPr>
              <w:t>Authorized Signatory</w:t>
            </w:r>
          </w:p>
        </w:tc>
        <w:tc>
          <w:tcPr>
            <w:tcW w:w="40" w:type="dxa"/>
            <w:vAlign w:val="bottom"/>
          </w:tcPr>
          <w:p>
            <w:pPr>
              <w:spacing w:after="0"/>
              <w:rPr>
                <w:sz w:val="20"/>
                <w:szCs w:val="20"/>
                <w:color w:val="auto"/>
              </w:rPr>
            </w:pPr>
          </w:p>
        </w:tc>
      </w:tr>
      <w:tr>
        <w:trPr>
          <w:trHeight w:val="432"/>
        </w:trPr>
        <w:tc>
          <w:tcPr>
            <w:tcW w:w="5520" w:type="dxa"/>
            <w:vAlign w:val="bottom"/>
            <w:gridSpan w:val="4"/>
          </w:tcPr>
          <w:p>
            <w:pPr>
              <w:spacing w:after="0"/>
              <w:rPr>
                <w:sz w:val="20"/>
                <w:szCs w:val="20"/>
                <w:color w:val="auto"/>
              </w:rPr>
            </w:pPr>
            <w:r>
              <w:rPr>
                <w:rFonts w:ascii="Arial" w:cs="Arial" w:eastAsia="Arial" w:hAnsi="Arial"/>
                <w:sz w:val="18"/>
                <w:szCs w:val="18"/>
                <w:b w:val="1"/>
                <w:bCs w:val="1"/>
                <w:color w:val="auto"/>
              </w:rPr>
              <w:t>VHCP Co-Investment Holdings II, LLC</w:t>
            </w:r>
          </w:p>
        </w:tc>
        <w:tc>
          <w:tcPr>
            <w:tcW w:w="5900" w:type="dxa"/>
            <w:vAlign w:val="bottom"/>
            <w:gridSpan w:val="3"/>
          </w:tcPr>
          <w:p>
            <w:pPr>
              <w:ind w:left="440"/>
              <w:spacing w:after="0"/>
              <w:rPr>
                <w:sz w:val="20"/>
                <w:szCs w:val="20"/>
                <w:color w:val="auto"/>
              </w:rPr>
            </w:pPr>
            <w:r>
              <w:rPr>
                <w:rFonts w:ascii="Arial" w:cs="Arial" w:eastAsia="Arial" w:hAnsi="Arial"/>
                <w:sz w:val="18"/>
                <w:szCs w:val="18"/>
                <w:b w:val="1"/>
                <w:bCs w:val="1"/>
                <w:color w:val="auto"/>
              </w:rPr>
              <w:t>VHCP Co-Investment Holdings III, LLC</w:t>
            </w:r>
          </w:p>
        </w:tc>
        <w:tc>
          <w:tcPr>
            <w:tcW w:w="40" w:type="dxa"/>
            <w:vAlign w:val="bottom"/>
          </w:tcPr>
          <w:p>
            <w:pPr>
              <w:spacing w:after="0"/>
              <w:rPr>
                <w:sz w:val="24"/>
                <w:szCs w:val="24"/>
                <w:color w:val="auto"/>
              </w:rPr>
            </w:pPr>
          </w:p>
        </w:tc>
      </w:tr>
      <w:tr>
        <w:trPr>
          <w:trHeight w:val="418"/>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VHCP Management II, LLC</w:t>
            </w:r>
          </w:p>
        </w:tc>
        <w:tc>
          <w:tcPr>
            <w:tcW w:w="980" w:type="dxa"/>
            <w:vAlign w:val="bottom"/>
          </w:tcPr>
          <w:p>
            <w:pPr>
              <w:ind w:left="440"/>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spacing w:after="0"/>
              <w:rPr>
                <w:sz w:val="20"/>
                <w:szCs w:val="20"/>
                <w:color w:val="auto"/>
              </w:rPr>
            </w:pPr>
            <w:r>
              <w:rPr>
                <w:rFonts w:ascii="Arial" w:cs="Arial" w:eastAsia="Arial" w:hAnsi="Arial"/>
                <w:sz w:val="18"/>
                <w:szCs w:val="18"/>
                <w:color w:val="auto"/>
              </w:rPr>
              <w:t>VHCP Management III, LLC</w:t>
            </w:r>
          </w:p>
        </w:tc>
        <w:tc>
          <w:tcPr>
            <w:tcW w:w="40" w:type="dxa"/>
            <w:vAlign w:val="bottom"/>
          </w:tcPr>
          <w:p>
            <w:pPr>
              <w:spacing w:after="0"/>
              <w:rPr>
                <w:sz w:val="24"/>
                <w:szCs w:val="24"/>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Its:</w:t>
            </w:r>
          </w:p>
        </w:tc>
        <w:tc>
          <w:tcPr>
            <w:tcW w:w="820" w:type="dxa"/>
            <w:vAlign w:val="bottom"/>
            <w:gridSpan w:val="2"/>
          </w:tcPr>
          <w:p>
            <w:pPr>
              <w:ind w:left="120"/>
              <w:spacing w:after="0"/>
              <w:rPr>
                <w:sz w:val="20"/>
                <w:szCs w:val="20"/>
                <w:color w:val="auto"/>
              </w:rPr>
            </w:pPr>
            <w:r>
              <w:rPr>
                <w:rFonts w:ascii="Arial" w:cs="Arial" w:eastAsia="Arial" w:hAnsi="Arial"/>
                <w:sz w:val="18"/>
                <w:szCs w:val="18"/>
                <w:color w:val="auto"/>
                <w:w w:val="95"/>
              </w:rPr>
              <w:t>Manager</w:t>
            </w:r>
          </w:p>
        </w:tc>
        <w:tc>
          <w:tcPr>
            <w:tcW w:w="4320" w:type="dxa"/>
            <w:vAlign w:val="bottom"/>
          </w:tcPr>
          <w:p>
            <w:pPr>
              <w:spacing w:after="0"/>
              <w:rPr>
                <w:sz w:val="20"/>
                <w:szCs w:val="20"/>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Its:</w:t>
            </w:r>
          </w:p>
        </w:tc>
        <w:tc>
          <w:tcPr>
            <w:tcW w:w="680" w:type="dxa"/>
            <w:vAlign w:val="bottom"/>
          </w:tcPr>
          <w:p>
            <w:pPr>
              <w:spacing w:after="0"/>
              <w:rPr>
                <w:sz w:val="20"/>
                <w:szCs w:val="20"/>
                <w:color w:val="auto"/>
              </w:rPr>
            </w:pPr>
            <w:r>
              <w:rPr>
                <w:rFonts w:ascii="Arial" w:cs="Arial" w:eastAsia="Arial" w:hAnsi="Arial"/>
                <w:sz w:val="18"/>
                <w:szCs w:val="18"/>
                <w:color w:val="auto"/>
                <w:w w:val="92"/>
              </w:rPr>
              <w:t>Manager</w:t>
            </w:r>
          </w:p>
        </w:tc>
        <w:tc>
          <w:tcPr>
            <w:tcW w:w="4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/s/ David L. Stepp</w:t>
            </w:r>
          </w:p>
        </w:tc>
        <w:tc>
          <w:tcPr>
            <w:tcW w:w="980" w:type="dxa"/>
            <w:vAlign w:val="bottom"/>
          </w:tcPr>
          <w:p>
            <w:pPr>
              <w:ind w:left="440"/>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spacing w:after="0"/>
              <w:rPr>
                <w:sz w:val="20"/>
                <w:szCs w:val="20"/>
                <w:color w:val="auto"/>
              </w:rPr>
            </w:pPr>
            <w:r>
              <w:rPr>
                <w:rFonts w:ascii="Arial" w:cs="Arial" w:eastAsia="Arial" w:hAnsi="Arial"/>
                <w:sz w:val="18"/>
                <w:szCs w:val="18"/>
                <w:color w:val="auto"/>
              </w:rPr>
              <w:t>/s/ David L. Stepp</w:t>
            </w:r>
          </w:p>
        </w:tc>
        <w:tc>
          <w:tcPr>
            <w:tcW w:w="40" w:type="dxa"/>
            <w:vAlign w:val="bottom"/>
          </w:tcPr>
          <w:p>
            <w:pPr>
              <w:spacing w:after="0"/>
              <w:rPr>
                <w:sz w:val="24"/>
                <w:szCs w:val="24"/>
                <w:color w:val="auto"/>
              </w:rPr>
            </w:pPr>
          </w:p>
        </w:tc>
      </w:tr>
      <w:tr>
        <w:trPr>
          <w:trHeight w:val="195"/>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3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David L. Stepp</w:t>
            </w:r>
          </w:p>
        </w:tc>
        <w:tc>
          <w:tcPr>
            <w:tcW w:w="980" w:type="dxa"/>
            <w:vAlign w:val="bottom"/>
          </w:tcPr>
          <w:p>
            <w:pPr>
              <w:spacing w:after="0"/>
              <w:rPr>
                <w:sz w:val="16"/>
                <w:szCs w:val="16"/>
                <w:color w:val="auto"/>
              </w:rPr>
            </w:pPr>
          </w:p>
        </w:tc>
        <w:tc>
          <w:tcPr>
            <w:tcW w:w="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2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David L. Stepp</w:t>
            </w:r>
          </w:p>
        </w:tc>
        <w:tc>
          <w:tcPr>
            <w:tcW w:w="40" w:type="dxa"/>
            <w:vAlign w:val="bottom"/>
          </w:tcPr>
          <w:p>
            <w:pPr>
              <w:spacing w:after="0"/>
              <w:rPr>
                <w:sz w:val="16"/>
                <w:szCs w:val="16"/>
                <w:color w:val="auto"/>
              </w:rPr>
            </w:pPr>
          </w:p>
        </w:tc>
      </w:tr>
      <w:tr>
        <w:trPr>
          <w:trHeight w:val="230"/>
        </w:trPr>
        <w:tc>
          <w:tcPr>
            <w:tcW w:w="380" w:type="dxa"/>
            <w:vAlign w:val="bottom"/>
          </w:tcPr>
          <w:p>
            <w:pPr>
              <w:spacing w:after="0"/>
              <w:rPr>
                <w:sz w:val="20"/>
                <w:szCs w:val="20"/>
                <w:color w:val="auto"/>
              </w:rPr>
            </w:pP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Its:</w:t>
            </w:r>
          </w:p>
        </w:tc>
        <w:tc>
          <w:tcPr>
            <w:tcW w:w="4320" w:type="dxa"/>
            <w:vAlign w:val="bottom"/>
          </w:tcPr>
          <w:p>
            <w:pPr>
              <w:ind w:left="60"/>
              <w:spacing w:after="0"/>
              <w:rPr>
                <w:sz w:val="20"/>
                <w:szCs w:val="20"/>
                <w:color w:val="auto"/>
              </w:rPr>
            </w:pPr>
            <w:r>
              <w:rPr>
                <w:rFonts w:ascii="Arial" w:cs="Arial" w:eastAsia="Arial" w:hAnsi="Arial"/>
                <w:sz w:val="18"/>
                <w:szCs w:val="18"/>
                <w:color w:val="auto"/>
              </w:rPr>
              <w:t>Authorized Signatory</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4240" w:type="dxa"/>
            <w:vAlign w:val="bottom"/>
          </w:tcPr>
          <w:p>
            <w:pPr>
              <w:ind w:left="60"/>
              <w:spacing w:after="0"/>
              <w:rPr>
                <w:sz w:val="20"/>
                <w:szCs w:val="20"/>
                <w:color w:val="auto"/>
              </w:rPr>
            </w:pPr>
            <w:r>
              <w:rPr>
                <w:rFonts w:ascii="Arial" w:cs="Arial" w:eastAsia="Arial" w:hAnsi="Arial"/>
                <w:sz w:val="18"/>
                <w:szCs w:val="18"/>
                <w:color w:val="auto"/>
              </w:rPr>
              <w:t>Authorized Signatory</w:t>
            </w:r>
          </w:p>
        </w:tc>
        <w:tc>
          <w:tcPr>
            <w:tcW w:w="40" w:type="dxa"/>
            <w:vAlign w:val="bottom"/>
          </w:tcPr>
          <w:p>
            <w:pPr>
              <w:spacing w:after="0"/>
              <w:rPr>
                <w:sz w:val="20"/>
                <w:szCs w:val="20"/>
                <w:color w:val="auto"/>
              </w:rPr>
            </w:pPr>
          </w:p>
        </w:tc>
      </w:tr>
      <w:tr>
        <w:trPr>
          <w:trHeight w:val="432"/>
        </w:trPr>
        <w:tc>
          <w:tcPr>
            <w:tcW w:w="5520" w:type="dxa"/>
            <w:vAlign w:val="bottom"/>
            <w:gridSpan w:val="4"/>
          </w:tcPr>
          <w:p>
            <w:pPr>
              <w:spacing w:after="0"/>
              <w:rPr>
                <w:sz w:val="20"/>
                <w:szCs w:val="20"/>
                <w:color w:val="auto"/>
              </w:rPr>
            </w:pPr>
            <w:r>
              <w:rPr>
                <w:rFonts w:ascii="Arial" w:cs="Arial" w:eastAsia="Arial" w:hAnsi="Arial"/>
                <w:sz w:val="18"/>
                <w:szCs w:val="18"/>
                <w:b w:val="1"/>
                <w:bCs w:val="1"/>
                <w:color w:val="auto"/>
              </w:rPr>
              <w:t>VHCP Management II, LLC</w:t>
            </w:r>
          </w:p>
        </w:tc>
        <w:tc>
          <w:tcPr>
            <w:tcW w:w="5900" w:type="dxa"/>
            <w:vAlign w:val="bottom"/>
            <w:gridSpan w:val="3"/>
          </w:tcPr>
          <w:p>
            <w:pPr>
              <w:ind w:left="440"/>
              <w:spacing w:after="0"/>
              <w:rPr>
                <w:sz w:val="20"/>
                <w:szCs w:val="20"/>
                <w:color w:val="auto"/>
              </w:rPr>
            </w:pPr>
            <w:r>
              <w:rPr>
                <w:rFonts w:ascii="Arial" w:cs="Arial" w:eastAsia="Arial" w:hAnsi="Arial"/>
                <w:sz w:val="18"/>
                <w:szCs w:val="18"/>
                <w:b w:val="1"/>
                <w:bCs w:val="1"/>
                <w:color w:val="auto"/>
              </w:rPr>
              <w:t>VHCP Management III, LLC</w:t>
            </w:r>
          </w:p>
        </w:tc>
        <w:tc>
          <w:tcPr>
            <w:tcW w:w="40" w:type="dxa"/>
            <w:vAlign w:val="bottom"/>
          </w:tcPr>
          <w:p>
            <w:pPr>
              <w:spacing w:after="0"/>
              <w:rPr>
                <w:sz w:val="24"/>
                <w:szCs w:val="24"/>
                <w:color w:val="auto"/>
              </w:rPr>
            </w:pP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/s/ David L. Stepp</w:t>
            </w:r>
          </w:p>
        </w:tc>
        <w:tc>
          <w:tcPr>
            <w:tcW w:w="980" w:type="dxa"/>
            <w:vAlign w:val="bottom"/>
          </w:tcPr>
          <w:p>
            <w:pPr>
              <w:ind w:left="440"/>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spacing w:after="0"/>
              <w:rPr>
                <w:sz w:val="20"/>
                <w:szCs w:val="20"/>
                <w:color w:val="auto"/>
              </w:rPr>
            </w:pPr>
            <w:r>
              <w:rPr>
                <w:rFonts w:ascii="Arial" w:cs="Arial" w:eastAsia="Arial" w:hAnsi="Arial"/>
                <w:sz w:val="18"/>
                <w:szCs w:val="18"/>
                <w:color w:val="auto"/>
              </w:rPr>
              <w:t>/s/ David L. Stepp</w:t>
            </w:r>
          </w:p>
        </w:tc>
        <w:tc>
          <w:tcPr>
            <w:tcW w:w="40" w:type="dxa"/>
            <w:vAlign w:val="bottom"/>
          </w:tcPr>
          <w:p>
            <w:pPr>
              <w:spacing w:after="0"/>
              <w:rPr>
                <w:sz w:val="24"/>
                <w:szCs w:val="24"/>
                <w:color w:val="auto"/>
              </w:rPr>
            </w:pPr>
          </w:p>
        </w:tc>
      </w:tr>
      <w:tr>
        <w:trPr>
          <w:trHeight w:val="195"/>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3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David L. Stepp</w:t>
            </w:r>
          </w:p>
        </w:tc>
        <w:tc>
          <w:tcPr>
            <w:tcW w:w="980" w:type="dxa"/>
            <w:vAlign w:val="bottom"/>
          </w:tcPr>
          <w:p>
            <w:pPr>
              <w:spacing w:after="0"/>
              <w:rPr>
                <w:sz w:val="16"/>
                <w:szCs w:val="16"/>
                <w:color w:val="auto"/>
              </w:rPr>
            </w:pPr>
          </w:p>
        </w:tc>
        <w:tc>
          <w:tcPr>
            <w:tcW w:w="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2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David L. Stepp</w:t>
            </w:r>
          </w:p>
        </w:tc>
        <w:tc>
          <w:tcPr>
            <w:tcW w:w="40" w:type="dxa"/>
            <w:vAlign w:val="bottom"/>
          </w:tcPr>
          <w:p>
            <w:pPr>
              <w:spacing w:after="0"/>
              <w:rPr>
                <w:sz w:val="16"/>
                <w:szCs w:val="16"/>
                <w:color w:val="auto"/>
              </w:rPr>
            </w:pPr>
          </w:p>
        </w:tc>
      </w:tr>
      <w:tr>
        <w:trPr>
          <w:trHeight w:val="230"/>
        </w:trPr>
        <w:tc>
          <w:tcPr>
            <w:tcW w:w="380" w:type="dxa"/>
            <w:vAlign w:val="bottom"/>
          </w:tcPr>
          <w:p>
            <w:pPr>
              <w:spacing w:after="0"/>
              <w:rPr>
                <w:sz w:val="20"/>
                <w:szCs w:val="20"/>
                <w:color w:val="auto"/>
              </w:rPr>
            </w:pP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Its:</w:t>
            </w:r>
          </w:p>
        </w:tc>
        <w:tc>
          <w:tcPr>
            <w:tcW w:w="4320" w:type="dxa"/>
            <w:vAlign w:val="bottom"/>
          </w:tcPr>
          <w:p>
            <w:pPr>
              <w:ind w:left="60"/>
              <w:spacing w:after="0"/>
              <w:rPr>
                <w:sz w:val="20"/>
                <w:szCs w:val="20"/>
                <w:color w:val="auto"/>
              </w:rPr>
            </w:pPr>
            <w:r>
              <w:rPr>
                <w:rFonts w:ascii="Arial" w:cs="Arial" w:eastAsia="Arial" w:hAnsi="Arial"/>
                <w:sz w:val="18"/>
                <w:szCs w:val="18"/>
                <w:color w:val="auto"/>
              </w:rPr>
              <w:t>Authorized Signatory</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4240" w:type="dxa"/>
            <w:vAlign w:val="bottom"/>
          </w:tcPr>
          <w:p>
            <w:pPr>
              <w:ind w:left="60"/>
              <w:spacing w:after="0"/>
              <w:rPr>
                <w:sz w:val="20"/>
                <w:szCs w:val="20"/>
                <w:color w:val="auto"/>
              </w:rPr>
            </w:pPr>
            <w:r>
              <w:rPr>
                <w:rFonts w:ascii="Arial" w:cs="Arial" w:eastAsia="Arial" w:hAnsi="Arial"/>
                <w:sz w:val="18"/>
                <w:szCs w:val="18"/>
                <w:color w:val="auto"/>
              </w:rPr>
              <w:t>Authorized Signatory</w:t>
            </w:r>
          </w:p>
        </w:tc>
        <w:tc>
          <w:tcPr>
            <w:tcW w:w="40" w:type="dxa"/>
            <w:vAlign w:val="bottom"/>
          </w:tcPr>
          <w:p>
            <w:pPr>
              <w:spacing w:after="0"/>
              <w:rPr>
                <w:sz w:val="20"/>
                <w:szCs w:val="20"/>
                <w:color w:val="auto"/>
              </w:rPr>
            </w:pPr>
          </w:p>
        </w:tc>
      </w:tr>
      <w:tr>
        <w:trPr>
          <w:trHeight w:val="432"/>
        </w:trPr>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Nimish Shah</w:t>
            </w:r>
          </w:p>
        </w:tc>
        <w:tc>
          <w:tcPr>
            <w:tcW w:w="4320" w:type="dxa"/>
            <w:vAlign w:val="bottom"/>
          </w:tcPr>
          <w:p>
            <w:pPr>
              <w:spacing w:after="0"/>
              <w:rPr>
                <w:sz w:val="24"/>
                <w:szCs w:val="24"/>
                <w:color w:val="auto"/>
              </w:rPr>
            </w:pPr>
          </w:p>
        </w:tc>
        <w:tc>
          <w:tcPr>
            <w:tcW w:w="1660" w:type="dxa"/>
            <w:vAlign w:val="bottom"/>
            <w:gridSpan w:val="2"/>
          </w:tcPr>
          <w:p>
            <w:pPr>
              <w:ind w:left="440"/>
              <w:spacing w:after="0"/>
              <w:rPr>
                <w:sz w:val="20"/>
                <w:szCs w:val="20"/>
                <w:color w:val="auto"/>
              </w:rPr>
            </w:pPr>
            <w:r>
              <w:rPr>
                <w:rFonts w:ascii="Arial" w:cs="Arial" w:eastAsia="Arial" w:hAnsi="Arial"/>
                <w:sz w:val="18"/>
                <w:szCs w:val="18"/>
                <w:b w:val="1"/>
                <w:bCs w:val="1"/>
                <w:color w:val="auto"/>
              </w:rPr>
              <w:t>Bong Koh</w:t>
            </w: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/s/ David L. Stepp</w:t>
            </w:r>
          </w:p>
        </w:tc>
        <w:tc>
          <w:tcPr>
            <w:tcW w:w="980" w:type="dxa"/>
            <w:vAlign w:val="bottom"/>
          </w:tcPr>
          <w:p>
            <w:pPr>
              <w:ind w:left="440"/>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spacing w:after="0"/>
              <w:rPr>
                <w:sz w:val="20"/>
                <w:szCs w:val="20"/>
                <w:color w:val="auto"/>
              </w:rPr>
            </w:pPr>
            <w:r>
              <w:rPr>
                <w:rFonts w:ascii="Arial" w:cs="Arial" w:eastAsia="Arial" w:hAnsi="Arial"/>
                <w:sz w:val="18"/>
                <w:szCs w:val="18"/>
                <w:color w:val="auto"/>
              </w:rPr>
              <w:t>/s/ David L. Stepp</w:t>
            </w:r>
          </w:p>
        </w:tc>
        <w:tc>
          <w:tcPr>
            <w:tcW w:w="40" w:type="dxa"/>
            <w:vAlign w:val="bottom"/>
          </w:tcPr>
          <w:p>
            <w:pPr>
              <w:spacing w:after="0"/>
              <w:rPr>
                <w:sz w:val="24"/>
                <w:szCs w:val="24"/>
                <w:color w:val="auto"/>
              </w:rPr>
            </w:pPr>
          </w:p>
        </w:tc>
      </w:tr>
      <w:tr>
        <w:trPr>
          <w:trHeight w:val="224"/>
        </w:trPr>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David L. Stepp, as attorney-in-fact</w:t>
            </w:r>
          </w:p>
        </w:tc>
        <w:tc>
          <w:tcPr>
            <w:tcW w:w="980" w:type="dxa"/>
            <w:vAlign w:val="bottom"/>
          </w:tcPr>
          <w:p>
            <w:pPr>
              <w:spacing w:after="0"/>
              <w:rPr>
                <w:sz w:val="19"/>
                <w:szCs w:val="19"/>
                <w:color w:val="auto"/>
              </w:rPr>
            </w:pPr>
          </w:p>
        </w:tc>
        <w:tc>
          <w:tcPr>
            <w:tcW w:w="49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David L. Stepp, as attorney-in-fact</w:t>
            </w:r>
          </w:p>
        </w:tc>
        <w:tc>
          <w:tcPr>
            <w:tcW w:w="40" w:type="dxa"/>
            <w:vAlign w:val="bottom"/>
          </w:tcPr>
          <w:p>
            <w:pPr>
              <w:spacing w:after="0"/>
              <w:rPr>
                <w:sz w:val="19"/>
                <w:szCs w:val="19"/>
                <w:color w:val="auto"/>
              </w:rPr>
            </w:pPr>
          </w:p>
        </w:tc>
      </w:tr>
      <w:tr>
        <w:trPr>
          <w:trHeight w:val="418"/>
        </w:trPr>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980" w:type="dxa"/>
            <w:vAlign w:val="bottom"/>
          </w:tcPr>
          <w:p>
            <w:pPr>
              <w:ind w:left="100"/>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3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95" w:right="199"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color w:val="auto"/>
        </w:rPr>
        <w:t>CUSIP No. 282559103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Joint Filing Agreement</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Power of Attorney for Nimish Shah</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Power of Attorney for Bong Koh</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95" w:right="1440"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jc w:val="both"/>
        <w:ind w:right="100" w:firstLine="441"/>
        <w:spacing w:after="0" w:line="279" w:lineRule="auto"/>
        <w:rPr>
          <w:sz w:val="20"/>
          <w:szCs w:val="20"/>
          <w:color w:val="auto"/>
        </w:rPr>
      </w:pPr>
      <w:r>
        <w:rPr>
          <w:rFonts w:ascii="Arial" w:cs="Arial" w:eastAsia="Arial" w:hAnsi="Arial"/>
          <w:sz w:val="17"/>
          <w:szCs w:val="17"/>
          <w:color w:val="auto"/>
        </w:rPr>
        <w:t>In accordance with Rule 13d-1(k) under the Securities Exchange Act of 1934, as amended, the undersigned agree to the joint filing on behalf of each of them of a statement on Schedule 13G (including amendments thereto) with respect to the Common Stock of 89bio, Inc.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evidence whereof, the undersigned have caused this Agreement to be executed on their behalf this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November, 2019.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Venrock Healthcare Capital Partners II, L.P.</w:t>
            </w:r>
          </w:p>
        </w:tc>
        <w:tc>
          <w:tcPr>
            <w:tcW w:w="5800" w:type="dxa"/>
            <w:vAlign w:val="bottom"/>
            <w:gridSpan w:val="3"/>
          </w:tcPr>
          <w:p>
            <w:pPr>
              <w:ind w:left="460"/>
              <w:spacing w:after="0"/>
              <w:rPr>
                <w:sz w:val="20"/>
                <w:szCs w:val="20"/>
                <w:color w:val="auto"/>
              </w:rPr>
            </w:pPr>
            <w:r>
              <w:rPr>
                <w:rFonts w:ascii="Arial" w:cs="Arial" w:eastAsia="Arial" w:hAnsi="Arial"/>
                <w:sz w:val="18"/>
                <w:szCs w:val="18"/>
                <w:b w:val="1"/>
                <w:bCs w:val="1"/>
                <w:color w:val="auto"/>
              </w:rPr>
              <w:t>Venrock Healthcare Capital Partners III, L.P.</w:t>
            </w:r>
          </w:p>
        </w:tc>
        <w:tc>
          <w:tcPr>
            <w:tcW w:w="40" w:type="dxa"/>
            <w:vAlign w:val="bottom"/>
          </w:tcPr>
          <w:p>
            <w:pPr>
              <w:spacing w:after="0"/>
              <w:rPr>
                <w:sz w:val="20"/>
                <w:szCs w:val="20"/>
                <w:color w:val="auto"/>
              </w:rPr>
            </w:pP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2"/>
          </w:tcPr>
          <w:p>
            <w:pPr>
              <w:spacing w:after="0"/>
              <w:rPr>
                <w:sz w:val="20"/>
                <w:szCs w:val="20"/>
                <w:color w:val="auto"/>
              </w:rPr>
            </w:pPr>
            <w:r>
              <w:rPr>
                <w:rFonts w:ascii="Arial" w:cs="Arial" w:eastAsia="Arial" w:hAnsi="Arial"/>
                <w:sz w:val="18"/>
                <w:szCs w:val="18"/>
                <w:color w:val="auto"/>
              </w:rPr>
              <w:t>VHCP Management II, LLC</w:t>
            </w:r>
          </w:p>
        </w:tc>
        <w:tc>
          <w:tcPr>
            <w:tcW w:w="880" w:type="dxa"/>
            <w:vAlign w:val="bottom"/>
          </w:tcPr>
          <w:p>
            <w:pPr>
              <w:ind w:left="460"/>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spacing w:after="0"/>
              <w:rPr>
                <w:sz w:val="20"/>
                <w:szCs w:val="20"/>
                <w:color w:val="auto"/>
              </w:rPr>
            </w:pPr>
            <w:r>
              <w:rPr>
                <w:rFonts w:ascii="Arial" w:cs="Arial" w:eastAsia="Arial" w:hAnsi="Arial"/>
                <w:sz w:val="18"/>
                <w:szCs w:val="18"/>
                <w:color w:val="auto"/>
              </w:rPr>
              <w:t>VHCP Management III, LLC</w:t>
            </w:r>
          </w:p>
        </w:tc>
        <w:tc>
          <w:tcPr>
            <w:tcW w:w="40" w:type="dxa"/>
            <w:vAlign w:val="bottom"/>
          </w:tcPr>
          <w:p>
            <w:pPr>
              <w:spacing w:after="0"/>
              <w:rPr>
                <w:sz w:val="24"/>
                <w:szCs w:val="24"/>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Its:</w:t>
            </w:r>
          </w:p>
        </w:tc>
        <w:tc>
          <w:tcPr>
            <w:tcW w:w="520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880" w:type="dxa"/>
            <w:vAlign w:val="bottom"/>
          </w:tcPr>
          <w:p>
            <w:pPr>
              <w:ind w:left="460"/>
              <w:spacing w:after="0"/>
              <w:rPr>
                <w:sz w:val="20"/>
                <w:szCs w:val="20"/>
                <w:color w:val="auto"/>
              </w:rPr>
            </w:pPr>
            <w:r>
              <w:rPr>
                <w:rFonts w:ascii="Arial" w:cs="Arial" w:eastAsia="Arial" w:hAnsi="Arial"/>
                <w:sz w:val="18"/>
                <w:szCs w:val="18"/>
                <w:color w:val="auto"/>
              </w:rPr>
              <w:t>Its:</w:t>
            </w:r>
          </w:p>
        </w:tc>
        <w:tc>
          <w:tcPr>
            <w:tcW w:w="492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4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880" w:type="dxa"/>
            <w:vAlign w:val="bottom"/>
          </w:tcPr>
          <w:p>
            <w:pPr>
              <w:ind w:left="46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40" w:type="dxa"/>
            <w:vAlign w:val="bottom"/>
          </w:tcPr>
          <w:p>
            <w:pPr>
              <w:spacing w:after="0"/>
              <w:rPr>
                <w:sz w:val="24"/>
                <w:szCs w:val="24"/>
                <w:color w:val="auto"/>
              </w:rPr>
            </w:pPr>
          </w:p>
        </w:tc>
      </w:tr>
      <w:tr>
        <w:trPr>
          <w:trHeight w:val="195"/>
        </w:trPr>
        <w:tc>
          <w:tcPr>
            <w:tcW w:w="420" w:type="dxa"/>
            <w:vAlign w:val="bottom"/>
          </w:tcPr>
          <w:p>
            <w:pPr>
              <w:spacing w:after="0"/>
              <w:rPr>
                <w:sz w:val="16"/>
                <w:szCs w:val="16"/>
                <w:color w:val="auto"/>
              </w:rPr>
            </w:pPr>
          </w:p>
        </w:tc>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ind w:left="40"/>
              <w:spacing w:after="0" w:line="195" w:lineRule="exact"/>
              <w:rPr>
                <w:sz w:val="20"/>
                <w:szCs w:val="20"/>
                <w:color w:val="auto"/>
              </w:rPr>
            </w:pPr>
            <w:r>
              <w:rPr>
                <w:rFonts w:ascii="Arial" w:cs="Arial" w:eastAsia="Arial" w:hAnsi="Arial"/>
                <w:sz w:val="18"/>
                <w:szCs w:val="18"/>
                <w:color w:val="auto"/>
              </w:rPr>
              <w:t>David L. Stepp</w:t>
            </w:r>
          </w:p>
        </w:tc>
        <w:tc>
          <w:tcPr>
            <w:tcW w:w="88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60" w:type="dxa"/>
            <w:vAlign w:val="bottom"/>
          </w:tcPr>
          <w:p>
            <w:pPr>
              <w:ind w:left="40"/>
              <w:spacing w:after="0" w:line="195" w:lineRule="exact"/>
              <w:rPr>
                <w:sz w:val="20"/>
                <w:szCs w:val="20"/>
                <w:color w:val="auto"/>
              </w:rPr>
            </w:pPr>
            <w:r>
              <w:rPr>
                <w:rFonts w:ascii="Arial" w:cs="Arial" w:eastAsia="Arial" w:hAnsi="Arial"/>
                <w:sz w:val="18"/>
                <w:szCs w:val="18"/>
                <w:color w:val="auto"/>
              </w:rPr>
              <w:t>David L. Stepp</w:t>
            </w:r>
          </w:p>
        </w:tc>
        <w:tc>
          <w:tcPr>
            <w:tcW w:w="40" w:type="dxa"/>
            <w:vAlign w:val="bottom"/>
          </w:tcPr>
          <w:p>
            <w:pPr>
              <w:spacing w:after="0"/>
              <w:rPr>
                <w:sz w:val="16"/>
                <w:szCs w:val="16"/>
                <w:color w:val="auto"/>
              </w:rPr>
            </w:pPr>
          </w:p>
        </w:tc>
      </w:tr>
      <w:tr>
        <w:trPr>
          <w:trHeight w:val="230"/>
        </w:trPr>
        <w:tc>
          <w:tcPr>
            <w:tcW w:w="42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4520" w:type="dxa"/>
            <w:vAlign w:val="bottom"/>
          </w:tcPr>
          <w:p>
            <w:pPr>
              <w:ind w:left="40"/>
              <w:spacing w:after="0"/>
              <w:rPr>
                <w:sz w:val="20"/>
                <w:szCs w:val="20"/>
                <w:color w:val="auto"/>
              </w:rPr>
            </w:pPr>
            <w:r>
              <w:rPr>
                <w:rFonts w:ascii="Arial" w:cs="Arial" w:eastAsia="Arial" w:hAnsi="Arial"/>
                <w:sz w:val="18"/>
                <w:szCs w:val="18"/>
                <w:color w:val="auto"/>
              </w:rPr>
              <w:t>Authorized Signatory</w:t>
            </w: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260" w:type="dxa"/>
            <w:vAlign w:val="bottom"/>
          </w:tcPr>
          <w:p>
            <w:pPr>
              <w:ind w:left="40"/>
              <w:spacing w:after="0"/>
              <w:rPr>
                <w:sz w:val="20"/>
                <w:szCs w:val="20"/>
                <w:color w:val="auto"/>
              </w:rPr>
            </w:pPr>
            <w:r>
              <w:rPr>
                <w:rFonts w:ascii="Arial" w:cs="Arial" w:eastAsia="Arial" w:hAnsi="Arial"/>
                <w:sz w:val="18"/>
                <w:szCs w:val="18"/>
                <w:color w:val="auto"/>
              </w:rPr>
              <w:t>Authorized Signatory</w:t>
            </w:r>
          </w:p>
        </w:tc>
        <w:tc>
          <w:tcPr>
            <w:tcW w:w="40" w:type="dxa"/>
            <w:vAlign w:val="bottom"/>
          </w:tcPr>
          <w:p>
            <w:pPr>
              <w:spacing w:after="0"/>
              <w:rPr>
                <w:sz w:val="20"/>
                <w:szCs w:val="20"/>
                <w:color w:val="auto"/>
              </w:rPr>
            </w:pP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VHCP Co-Investment Holdings II, LLC</w:t>
            </w:r>
          </w:p>
        </w:tc>
        <w:tc>
          <w:tcPr>
            <w:tcW w:w="5800" w:type="dxa"/>
            <w:vAlign w:val="bottom"/>
            <w:gridSpan w:val="3"/>
          </w:tcPr>
          <w:p>
            <w:pPr>
              <w:ind w:left="460"/>
              <w:spacing w:after="0"/>
              <w:rPr>
                <w:sz w:val="20"/>
                <w:szCs w:val="20"/>
                <w:color w:val="auto"/>
              </w:rPr>
            </w:pPr>
            <w:r>
              <w:rPr>
                <w:rFonts w:ascii="Arial" w:cs="Arial" w:eastAsia="Arial" w:hAnsi="Arial"/>
                <w:sz w:val="18"/>
                <w:szCs w:val="18"/>
                <w:b w:val="1"/>
                <w:bCs w:val="1"/>
                <w:color w:val="auto"/>
              </w:rPr>
              <w:t>VHCP Co-Investment Holdings III, LLC</w:t>
            </w:r>
          </w:p>
        </w:tc>
        <w:tc>
          <w:tcPr>
            <w:tcW w:w="40" w:type="dxa"/>
            <w:vAlign w:val="bottom"/>
          </w:tcPr>
          <w:p>
            <w:pPr>
              <w:spacing w:after="0"/>
              <w:rPr>
                <w:sz w:val="24"/>
                <w:szCs w:val="24"/>
                <w:color w:val="auto"/>
              </w:rPr>
            </w:pP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2"/>
          </w:tcPr>
          <w:p>
            <w:pPr>
              <w:spacing w:after="0"/>
              <w:rPr>
                <w:sz w:val="20"/>
                <w:szCs w:val="20"/>
                <w:color w:val="auto"/>
              </w:rPr>
            </w:pPr>
            <w:r>
              <w:rPr>
                <w:rFonts w:ascii="Arial" w:cs="Arial" w:eastAsia="Arial" w:hAnsi="Arial"/>
                <w:sz w:val="18"/>
                <w:szCs w:val="18"/>
                <w:color w:val="auto"/>
              </w:rPr>
              <w:t>VHCP Management II, LLC</w:t>
            </w:r>
          </w:p>
        </w:tc>
        <w:tc>
          <w:tcPr>
            <w:tcW w:w="880" w:type="dxa"/>
            <w:vAlign w:val="bottom"/>
          </w:tcPr>
          <w:p>
            <w:pPr>
              <w:ind w:left="460"/>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spacing w:after="0"/>
              <w:rPr>
                <w:sz w:val="20"/>
                <w:szCs w:val="20"/>
                <w:color w:val="auto"/>
              </w:rPr>
            </w:pPr>
            <w:r>
              <w:rPr>
                <w:rFonts w:ascii="Arial" w:cs="Arial" w:eastAsia="Arial" w:hAnsi="Arial"/>
                <w:sz w:val="18"/>
                <w:szCs w:val="18"/>
                <w:color w:val="auto"/>
              </w:rPr>
              <w:t>VHCP Management III, LLC</w:t>
            </w:r>
          </w:p>
        </w:tc>
        <w:tc>
          <w:tcPr>
            <w:tcW w:w="40" w:type="dxa"/>
            <w:vAlign w:val="bottom"/>
          </w:tcPr>
          <w:p>
            <w:pPr>
              <w:spacing w:after="0"/>
              <w:rPr>
                <w:sz w:val="24"/>
                <w:szCs w:val="24"/>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Its:</w:t>
            </w:r>
          </w:p>
        </w:tc>
        <w:tc>
          <w:tcPr>
            <w:tcW w:w="680" w:type="dxa"/>
            <w:vAlign w:val="bottom"/>
          </w:tcPr>
          <w:p>
            <w:pPr>
              <w:spacing w:after="0"/>
              <w:rPr>
                <w:sz w:val="20"/>
                <w:szCs w:val="20"/>
                <w:color w:val="auto"/>
              </w:rPr>
            </w:pPr>
            <w:r>
              <w:rPr>
                <w:rFonts w:ascii="Arial" w:cs="Arial" w:eastAsia="Arial" w:hAnsi="Arial"/>
                <w:sz w:val="18"/>
                <w:szCs w:val="18"/>
                <w:color w:val="auto"/>
                <w:w w:val="92"/>
              </w:rPr>
              <w:t>Manager</w:t>
            </w:r>
          </w:p>
        </w:tc>
        <w:tc>
          <w:tcPr>
            <w:tcW w:w="4520" w:type="dxa"/>
            <w:vAlign w:val="bottom"/>
          </w:tcPr>
          <w:p>
            <w:pPr>
              <w:spacing w:after="0"/>
              <w:rPr>
                <w:sz w:val="20"/>
                <w:szCs w:val="20"/>
                <w:color w:val="auto"/>
              </w:rPr>
            </w:pPr>
          </w:p>
        </w:tc>
        <w:tc>
          <w:tcPr>
            <w:tcW w:w="880" w:type="dxa"/>
            <w:vAlign w:val="bottom"/>
          </w:tcPr>
          <w:p>
            <w:pPr>
              <w:ind w:left="460"/>
              <w:spacing w:after="0"/>
              <w:rPr>
                <w:sz w:val="20"/>
                <w:szCs w:val="20"/>
                <w:color w:val="auto"/>
              </w:rPr>
            </w:pPr>
            <w:r>
              <w:rPr>
                <w:rFonts w:ascii="Arial" w:cs="Arial" w:eastAsia="Arial" w:hAnsi="Arial"/>
                <w:sz w:val="18"/>
                <w:szCs w:val="18"/>
                <w:color w:val="auto"/>
              </w:rPr>
              <w:t>Its:</w:t>
            </w:r>
          </w:p>
        </w:tc>
        <w:tc>
          <w:tcPr>
            <w:tcW w:w="660" w:type="dxa"/>
            <w:vAlign w:val="bottom"/>
          </w:tcPr>
          <w:p>
            <w:pPr>
              <w:spacing w:after="0"/>
              <w:rPr>
                <w:sz w:val="20"/>
                <w:szCs w:val="20"/>
                <w:color w:val="auto"/>
              </w:rPr>
            </w:pPr>
            <w:r>
              <w:rPr>
                <w:rFonts w:ascii="Arial" w:cs="Arial" w:eastAsia="Arial" w:hAnsi="Arial"/>
                <w:sz w:val="18"/>
                <w:szCs w:val="18"/>
                <w:color w:val="auto"/>
                <w:w w:val="90"/>
              </w:rPr>
              <w:t>Manager</w:t>
            </w: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880" w:type="dxa"/>
            <w:vAlign w:val="bottom"/>
          </w:tcPr>
          <w:p>
            <w:pPr>
              <w:ind w:left="46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40" w:type="dxa"/>
            <w:vAlign w:val="bottom"/>
          </w:tcPr>
          <w:p>
            <w:pPr>
              <w:spacing w:after="0"/>
              <w:rPr>
                <w:sz w:val="24"/>
                <w:szCs w:val="24"/>
                <w:color w:val="auto"/>
              </w:rPr>
            </w:pPr>
          </w:p>
        </w:tc>
      </w:tr>
      <w:tr>
        <w:trPr>
          <w:trHeight w:val="195"/>
        </w:trPr>
        <w:tc>
          <w:tcPr>
            <w:tcW w:w="420" w:type="dxa"/>
            <w:vAlign w:val="bottom"/>
          </w:tcPr>
          <w:p>
            <w:pPr>
              <w:spacing w:after="0"/>
              <w:rPr>
                <w:sz w:val="16"/>
                <w:szCs w:val="16"/>
                <w:color w:val="auto"/>
              </w:rPr>
            </w:pPr>
          </w:p>
        </w:tc>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ind w:left="40"/>
              <w:spacing w:after="0" w:line="195" w:lineRule="exact"/>
              <w:rPr>
                <w:sz w:val="20"/>
                <w:szCs w:val="20"/>
                <w:color w:val="auto"/>
              </w:rPr>
            </w:pPr>
            <w:r>
              <w:rPr>
                <w:rFonts w:ascii="Arial" w:cs="Arial" w:eastAsia="Arial" w:hAnsi="Arial"/>
                <w:sz w:val="18"/>
                <w:szCs w:val="18"/>
                <w:color w:val="auto"/>
              </w:rPr>
              <w:t>David L. Stepp</w:t>
            </w:r>
          </w:p>
        </w:tc>
        <w:tc>
          <w:tcPr>
            <w:tcW w:w="88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60" w:type="dxa"/>
            <w:vAlign w:val="bottom"/>
          </w:tcPr>
          <w:p>
            <w:pPr>
              <w:ind w:left="40"/>
              <w:spacing w:after="0" w:line="195" w:lineRule="exact"/>
              <w:rPr>
                <w:sz w:val="20"/>
                <w:szCs w:val="20"/>
                <w:color w:val="auto"/>
              </w:rPr>
            </w:pPr>
            <w:r>
              <w:rPr>
                <w:rFonts w:ascii="Arial" w:cs="Arial" w:eastAsia="Arial" w:hAnsi="Arial"/>
                <w:sz w:val="18"/>
                <w:szCs w:val="18"/>
                <w:color w:val="auto"/>
              </w:rPr>
              <w:t>David L. Stepp</w:t>
            </w:r>
          </w:p>
        </w:tc>
        <w:tc>
          <w:tcPr>
            <w:tcW w:w="40" w:type="dxa"/>
            <w:vAlign w:val="bottom"/>
          </w:tcPr>
          <w:p>
            <w:pPr>
              <w:spacing w:after="0"/>
              <w:rPr>
                <w:sz w:val="16"/>
                <w:szCs w:val="16"/>
                <w:color w:val="auto"/>
              </w:rPr>
            </w:pPr>
          </w:p>
        </w:tc>
      </w:tr>
      <w:tr>
        <w:trPr>
          <w:trHeight w:val="230"/>
        </w:trPr>
        <w:tc>
          <w:tcPr>
            <w:tcW w:w="42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4520" w:type="dxa"/>
            <w:vAlign w:val="bottom"/>
          </w:tcPr>
          <w:p>
            <w:pPr>
              <w:ind w:left="40"/>
              <w:spacing w:after="0"/>
              <w:rPr>
                <w:sz w:val="20"/>
                <w:szCs w:val="20"/>
                <w:color w:val="auto"/>
              </w:rPr>
            </w:pPr>
            <w:r>
              <w:rPr>
                <w:rFonts w:ascii="Arial" w:cs="Arial" w:eastAsia="Arial" w:hAnsi="Arial"/>
                <w:sz w:val="18"/>
                <w:szCs w:val="18"/>
                <w:color w:val="auto"/>
              </w:rPr>
              <w:t>Authorized Signatory</w:t>
            </w: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260" w:type="dxa"/>
            <w:vAlign w:val="bottom"/>
          </w:tcPr>
          <w:p>
            <w:pPr>
              <w:ind w:left="40"/>
              <w:spacing w:after="0"/>
              <w:rPr>
                <w:sz w:val="20"/>
                <w:szCs w:val="20"/>
                <w:color w:val="auto"/>
              </w:rPr>
            </w:pPr>
            <w:r>
              <w:rPr>
                <w:rFonts w:ascii="Arial" w:cs="Arial" w:eastAsia="Arial" w:hAnsi="Arial"/>
                <w:sz w:val="18"/>
                <w:szCs w:val="18"/>
                <w:color w:val="auto"/>
              </w:rPr>
              <w:t>Authorized Signatory</w:t>
            </w:r>
          </w:p>
        </w:tc>
        <w:tc>
          <w:tcPr>
            <w:tcW w:w="40" w:type="dxa"/>
            <w:vAlign w:val="bottom"/>
          </w:tcPr>
          <w:p>
            <w:pPr>
              <w:spacing w:after="0"/>
              <w:rPr>
                <w:sz w:val="20"/>
                <w:szCs w:val="20"/>
                <w:color w:val="auto"/>
              </w:rPr>
            </w:pP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VHCP Management II, LLC</w:t>
            </w:r>
          </w:p>
        </w:tc>
        <w:tc>
          <w:tcPr>
            <w:tcW w:w="5800" w:type="dxa"/>
            <w:vAlign w:val="bottom"/>
            <w:gridSpan w:val="3"/>
          </w:tcPr>
          <w:p>
            <w:pPr>
              <w:ind w:left="460"/>
              <w:spacing w:after="0"/>
              <w:rPr>
                <w:sz w:val="20"/>
                <w:szCs w:val="20"/>
                <w:color w:val="auto"/>
              </w:rPr>
            </w:pPr>
            <w:r>
              <w:rPr>
                <w:rFonts w:ascii="Arial" w:cs="Arial" w:eastAsia="Arial" w:hAnsi="Arial"/>
                <w:sz w:val="18"/>
                <w:szCs w:val="18"/>
                <w:b w:val="1"/>
                <w:bCs w:val="1"/>
                <w:color w:val="auto"/>
              </w:rPr>
              <w:t>VHCP Management III, LLC</w:t>
            </w:r>
          </w:p>
        </w:tc>
        <w:tc>
          <w:tcPr>
            <w:tcW w:w="40" w:type="dxa"/>
            <w:vAlign w:val="bottom"/>
          </w:tcPr>
          <w:p>
            <w:pPr>
              <w:spacing w:after="0"/>
              <w:rPr>
                <w:sz w:val="24"/>
                <w:szCs w:val="24"/>
                <w:color w:val="auto"/>
              </w:rPr>
            </w:pP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880" w:type="dxa"/>
            <w:vAlign w:val="bottom"/>
          </w:tcPr>
          <w:p>
            <w:pPr>
              <w:ind w:left="46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40" w:type="dxa"/>
            <w:vAlign w:val="bottom"/>
          </w:tcPr>
          <w:p>
            <w:pPr>
              <w:spacing w:after="0"/>
              <w:rPr>
                <w:sz w:val="24"/>
                <w:szCs w:val="24"/>
                <w:color w:val="auto"/>
              </w:rPr>
            </w:pPr>
          </w:p>
        </w:tc>
      </w:tr>
      <w:tr>
        <w:trPr>
          <w:trHeight w:val="195"/>
        </w:trPr>
        <w:tc>
          <w:tcPr>
            <w:tcW w:w="420" w:type="dxa"/>
            <w:vAlign w:val="bottom"/>
          </w:tcPr>
          <w:p>
            <w:pPr>
              <w:spacing w:after="0"/>
              <w:rPr>
                <w:sz w:val="16"/>
                <w:szCs w:val="16"/>
                <w:color w:val="auto"/>
              </w:rPr>
            </w:pPr>
          </w:p>
        </w:tc>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ind w:left="40"/>
              <w:spacing w:after="0" w:line="195" w:lineRule="exact"/>
              <w:rPr>
                <w:sz w:val="20"/>
                <w:szCs w:val="20"/>
                <w:color w:val="auto"/>
              </w:rPr>
            </w:pPr>
            <w:r>
              <w:rPr>
                <w:rFonts w:ascii="Arial" w:cs="Arial" w:eastAsia="Arial" w:hAnsi="Arial"/>
                <w:sz w:val="18"/>
                <w:szCs w:val="18"/>
                <w:color w:val="auto"/>
              </w:rPr>
              <w:t>David L. Stepp</w:t>
            </w:r>
          </w:p>
        </w:tc>
        <w:tc>
          <w:tcPr>
            <w:tcW w:w="88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60" w:type="dxa"/>
            <w:vAlign w:val="bottom"/>
          </w:tcPr>
          <w:p>
            <w:pPr>
              <w:ind w:left="40"/>
              <w:spacing w:after="0" w:line="195" w:lineRule="exact"/>
              <w:rPr>
                <w:sz w:val="20"/>
                <w:szCs w:val="20"/>
                <w:color w:val="auto"/>
              </w:rPr>
            </w:pPr>
            <w:r>
              <w:rPr>
                <w:rFonts w:ascii="Arial" w:cs="Arial" w:eastAsia="Arial" w:hAnsi="Arial"/>
                <w:sz w:val="18"/>
                <w:szCs w:val="18"/>
                <w:color w:val="auto"/>
              </w:rPr>
              <w:t>David L. Stepp</w:t>
            </w:r>
          </w:p>
        </w:tc>
        <w:tc>
          <w:tcPr>
            <w:tcW w:w="40" w:type="dxa"/>
            <w:vAlign w:val="bottom"/>
          </w:tcPr>
          <w:p>
            <w:pPr>
              <w:spacing w:after="0"/>
              <w:rPr>
                <w:sz w:val="16"/>
                <w:szCs w:val="16"/>
                <w:color w:val="auto"/>
              </w:rPr>
            </w:pPr>
          </w:p>
        </w:tc>
      </w:tr>
      <w:tr>
        <w:trPr>
          <w:trHeight w:val="230"/>
        </w:trPr>
        <w:tc>
          <w:tcPr>
            <w:tcW w:w="42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4520" w:type="dxa"/>
            <w:vAlign w:val="bottom"/>
          </w:tcPr>
          <w:p>
            <w:pPr>
              <w:ind w:left="40"/>
              <w:spacing w:after="0"/>
              <w:rPr>
                <w:sz w:val="20"/>
                <w:szCs w:val="20"/>
                <w:color w:val="auto"/>
              </w:rPr>
            </w:pPr>
            <w:r>
              <w:rPr>
                <w:rFonts w:ascii="Arial" w:cs="Arial" w:eastAsia="Arial" w:hAnsi="Arial"/>
                <w:sz w:val="18"/>
                <w:szCs w:val="18"/>
                <w:color w:val="auto"/>
              </w:rPr>
              <w:t>Authorized Signatory</w:t>
            </w: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260" w:type="dxa"/>
            <w:vAlign w:val="bottom"/>
          </w:tcPr>
          <w:p>
            <w:pPr>
              <w:ind w:left="40"/>
              <w:spacing w:after="0"/>
              <w:rPr>
                <w:sz w:val="20"/>
                <w:szCs w:val="20"/>
                <w:color w:val="auto"/>
              </w:rPr>
            </w:pPr>
            <w:r>
              <w:rPr>
                <w:rFonts w:ascii="Arial" w:cs="Arial" w:eastAsia="Arial" w:hAnsi="Arial"/>
                <w:sz w:val="18"/>
                <w:szCs w:val="18"/>
                <w:color w:val="auto"/>
              </w:rPr>
              <w:t>Authorized Signatory</w:t>
            </w:r>
          </w:p>
        </w:tc>
        <w:tc>
          <w:tcPr>
            <w:tcW w:w="40" w:type="dxa"/>
            <w:vAlign w:val="bottom"/>
          </w:tcPr>
          <w:p>
            <w:pPr>
              <w:spacing w:after="0"/>
              <w:rPr>
                <w:sz w:val="20"/>
                <w:szCs w:val="20"/>
                <w:color w:val="auto"/>
              </w:rPr>
            </w:pP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9"/>
              </w:rPr>
              <w:t>Nimish Shah</w:t>
            </w:r>
          </w:p>
        </w:tc>
        <w:tc>
          <w:tcPr>
            <w:tcW w:w="4520" w:type="dxa"/>
            <w:vAlign w:val="bottom"/>
          </w:tcPr>
          <w:p>
            <w:pPr>
              <w:spacing w:after="0"/>
              <w:rPr>
                <w:sz w:val="24"/>
                <w:szCs w:val="24"/>
                <w:color w:val="auto"/>
              </w:rPr>
            </w:pPr>
          </w:p>
        </w:tc>
        <w:tc>
          <w:tcPr>
            <w:tcW w:w="1540" w:type="dxa"/>
            <w:vAlign w:val="bottom"/>
            <w:gridSpan w:val="2"/>
          </w:tcPr>
          <w:p>
            <w:pPr>
              <w:ind w:left="460"/>
              <w:spacing w:after="0"/>
              <w:rPr>
                <w:sz w:val="20"/>
                <w:szCs w:val="20"/>
                <w:color w:val="auto"/>
              </w:rPr>
            </w:pPr>
            <w:r>
              <w:rPr>
                <w:rFonts w:ascii="Arial" w:cs="Arial" w:eastAsia="Arial" w:hAnsi="Arial"/>
                <w:sz w:val="18"/>
                <w:szCs w:val="18"/>
                <w:b w:val="1"/>
                <w:bCs w:val="1"/>
                <w:color w:val="auto"/>
              </w:rPr>
              <w:t>Bong Koh</w:t>
            </w: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880" w:type="dxa"/>
            <w:vAlign w:val="bottom"/>
          </w:tcPr>
          <w:p>
            <w:pPr>
              <w:ind w:left="46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40" w:type="dxa"/>
            <w:vAlign w:val="bottom"/>
          </w:tcPr>
          <w:p>
            <w:pPr>
              <w:spacing w:after="0"/>
              <w:rPr>
                <w:sz w:val="24"/>
                <w:szCs w:val="24"/>
                <w:color w:val="auto"/>
              </w:rPr>
            </w:pPr>
          </w:p>
        </w:tc>
      </w:tr>
      <w:tr>
        <w:trPr>
          <w:trHeight w:val="224"/>
        </w:trPr>
        <w:tc>
          <w:tcPr>
            <w:tcW w:w="4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David L. Stepp, as attorney-in-fact</w:t>
            </w:r>
          </w:p>
        </w:tc>
        <w:tc>
          <w:tcPr>
            <w:tcW w:w="88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David L. Stepp, as attorney-in-fact</w:t>
            </w:r>
          </w:p>
        </w:tc>
        <w:tc>
          <w:tcPr>
            <w:tcW w:w="40" w:type="dxa"/>
            <w:vAlign w:val="bottom"/>
          </w:tcPr>
          <w:p>
            <w:pPr>
              <w:spacing w:after="0"/>
              <w:rPr>
                <w:sz w:val="19"/>
                <w:szCs w:val="19"/>
                <w:color w:val="auto"/>
              </w:rPr>
            </w:pPr>
          </w:p>
        </w:tc>
      </w:tr>
      <w:tr>
        <w:trPr>
          <w:trHeight w:val="418"/>
        </w:trPr>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5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4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 FOR NIMISH SHAH</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David L. Stepp, Sherman G. Souther and Lisa D. Harris signing individually, the undersigned’s true and lawful attorney-in fact and agent to:</w:t>
      </w:r>
    </w:p>
    <w:p>
      <w:pPr>
        <w:spacing w:after="0" w:line="170" w:lineRule="exact"/>
        <w:rPr>
          <w:sz w:val="20"/>
          <w:szCs w:val="20"/>
          <w:color w:val="auto"/>
        </w:rPr>
      </w:pPr>
    </w:p>
    <w:p>
      <w:pPr>
        <w:ind w:left="1440" w:right="20" w:hanging="654"/>
        <w:spacing w:after="0" w:line="272" w:lineRule="auto"/>
        <w:tabs>
          <w:tab w:leader="none" w:pos="1461"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 and any amendments thereto in accordance with Section 13 of the Exchange Act and the rules thereunder, and (b) Forms 3, 4 and 5 and any amendments thereto in accordance with Section 16(a) of the Exchange Act and the rules thereunder; and</w:t>
      </w:r>
    </w:p>
    <w:p>
      <w:pPr>
        <w:spacing w:after="0" w:line="177" w:lineRule="exact"/>
        <w:rPr>
          <w:rFonts w:ascii="Arial" w:cs="Arial" w:eastAsia="Arial" w:hAnsi="Arial"/>
          <w:sz w:val="17"/>
          <w:szCs w:val="17"/>
          <w:color w:val="auto"/>
        </w:rPr>
      </w:pPr>
    </w:p>
    <w:p>
      <w:pPr>
        <w:ind w:left="1440" w:right="60" w:hanging="654"/>
        <w:spacing w:after="0" w:line="279" w:lineRule="auto"/>
        <w:tabs>
          <w:tab w:leader="none" w:pos="1471" w:val="left"/>
        </w:tabs>
        <w:numPr>
          <w:ilvl w:val="0"/>
          <w:numId w:val="32"/>
        </w:numPr>
        <w:rPr>
          <w:rFonts w:ascii="Arial" w:cs="Arial" w:eastAsia="Arial" w:hAnsi="Arial"/>
          <w:sz w:val="17"/>
          <w:szCs w:val="17"/>
          <w:color w:val="auto"/>
        </w:rPr>
      </w:pPr>
      <w:r>
        <w:rPr>
          <w:rFonts w:ascii="Arial" w:cs="Arial" w:eastAsia="Arial" w:hAnsi="Arial"/>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undersigned, is not assuming, nor is Venrock assuming, any of the undersigned’s responsibilities to comply with the Exchange Act, including without limitation Sections 13 and 16 of the Exchange Act.</w:t>
      </w:r>
    </w:p>
    <w:p>
      <w:pPr>
        <w:spacing w:after="0" w:line="16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VR Management, LLC (or its successor).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 this Power of Attorney to be executed as of this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November,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 Nimish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 FOR BONG KOH</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David L. Stepp, Sherman G. Souther and Lisa D. Harris signing individually, the undersigned’s true and lawful attorney-in fact and agent to:</w:t>
      </w:r>
    </w:p>
    <w:p>
      <w:pPr>
        <w:spacing w:after="0" w:line="170" w:lineRule="exact"/>
        <w:rPr>
          <w:sz w:val="20"/>
          <w:szCs w:val="20"/>
          <w:color w:val="auto"/>
        </w:rPr>
      </w:pPr>
    </w:p>
    <w:p>
      <w:pPr>
        <w:ind w:left="1440" w:right="20" w:hanging="654"/>
        <w:spacing w:after="0" w:line="272" w:lineRule="auto"/>
        <w:tabs>
          <w:tab w:leader="none" w:pos="1461"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 and any amendments thereto in accordance with Section 13 of the Exchange Act and the rules thereunder, and (b) Forms 3, 4 and 5 and any amendments thereto in accordance with Section 16(a) of the Exchange Act and the rules thereunder; and</w:t>
      </w:r>
    </w:p>
    <w:p>
      <w:pPr>
        <w:spacing w:after="0" w:line="177" w:lineRule="exact"/>
        <w:rPr>
          <w:rFonts w:ascii="Arial" w:cs="Arial" w:eastAsia="Arial" w:hAnsi="Arial"/>
          <w:sz w:val="17"/>
          <w:szCs w:val="17"/>
          <w:color w:val="auto"/>
        </w:rPr>
      </w:pPr>
    </w:p>
    <w:p>
      <w:pPr>
        <w:ind w:left="1440" w:right="60" w:hanging="654"/>
        <w:spacing w:after="0" w:line="279" w:lineRule="auto"/>
        <w:tabs>
          <w:tab w:leader="none" w:pos="1471" w:val="left"/>
        </w:tabs>
        <w:numPr>
          <w:ilvl w:val="0"/>
          <w:numId w:val="33"/>
        </w:numPr>
        <w:rPr>
          <w:rFonts w:ascii="Arial" w:cs="Arial" w:eastAsia="Arial" w:hAnsi="Arial"/>
          <w:sz w:val="17"/>
          <w:szCs w:val="17"/>
          <w:color w:val="auto"/>
        </w:rPr>
      </w:pPr>
      <w:r>
        <w:rPr>
          <w:rFonts w:ascii="Arial" w:cs="Arial" w:eastAsia="Arial" w:hAnsi="Arial"/>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undersigned, is not assuming, nor is Venrock assuming, any of the undersigned’s responsibilities to comply with the Exchange Act, including without limitation Sections 13 and 16 of the Exchange Act.</w:t>
      </w:r>
    </w:p>
    <w:p>
      <w:pPr>
        <w:spacing w:after="0" w:line="16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VR Management, LLC (or its successor).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 this Power of Attorney to be executed as of this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November,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 Bong Koh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33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o"/>
      <w:numFmt w:val="bullet"/>
      <w:start w:val="1"/>
    </w:lvl>
  </w:abstractNum>
  <w:abstractNum w:abstractNumId="1">
    <w:nsid w:val="519B500D"/>
    <w:multiLevelType w:val="hybridMultilevel"/>
    <w:lvl w:ilvl="0">
      <w:lvlJc w:val="left"/>
      <w:lvlText w:val="%1."/>
      <w:numFmt w:val="decimal"/>
      <w:start w:val="1"/>
    </w:lvl>
    <w:lvl w:ilvl="1">
      <w:lvlJc w:val="left"/>
      <w:lvlText w:val="(%2)"/>
      <w:numFmt w:val="lowerLetter"/>
      <w:start w:val="1"/>
    </w:lvl>
  </w:abstractNum>
  <w:abstractNum w:abstractNumId="2">
    <w:nsid w:val="431BD7B7"/>
    <w:multiLevelType w:val="hybridMultilevel"/>
    <w:lvl w:ilvl="0">
      <w:lvlJc w:val="left"/>
      <w:lvlText w:val="%1"/>
      <w:numFmt w:val="decimal"/>
      <w:start w:val="1"/>
    </w:lvl>
    <w:lvl w:ilvl="1">
      <w:lvlJc w:val="left"/>
      <w:lvlText w:val="%2."/>
      <w:numFmt w:val="decimal"/>
      <w:start w:val="9"/>
    </w:lvl>
  </w:abstractNum>
  <w:abstractNum w:abstractNumId="3">
    <w:nsid w:val="3F2DBA31"/>
    <w:multiLevelType w:val="hybridMultilevel"/>
    <w:lvl w:ilvl="0">
      <w:lvlJc w:val="left"/>
      <w:lvlText w:val="(%1)"/>
      <w:numFmt w:val="decimal"/>
      <w:start w:val="1"/>
    </w:lvl>
    <w:lvl w:ilvl="1">
      <w:lvlJc w:val="left"/>
      <w:lvlText w:val="%2"/>
      <w:numFmt w:val="decimal"/>
      <w:start w:val="1"/>
    </w:lvl>
  </w:abstractNum>
  <w:abstractNum w:abstractNumId="4">
    <w:nsid w:val="7C83E458"/>
    <w:multiLevelType w:val="hybridMultilevel"/>
    <w:lvl w:ilvl="0">
      <w:lvlJc w:val="left"/>
      <w:lvlText w:val="%1."/>
      <w:numFmt w:val="decimal"/>
      <w:start w:val="1"/>
    </w:lvl>
    <w:lvl w:ilvl="1">
      <w:lvlJc w:val="left"/>
      <w:lvlText w:val="(%2)"/>
      <w:numFmt w:val="lowerLetter"/>
      <w:start w:val="1"/>
    </w:lvl>
  </w:abstractNum>
  <w:abstractNum w:abstractNumId="5">
    <w:nsid w:val="257130A3"/>
    <w:multiLevelType w:val="hybridMultilevel"/>
    <w:lvl w:ilvl="0">
      <w:lvlJc w:val="left"/>
      <w:lvlText w:val="%1"/>
      <w:numFmt w:val="decimal"/>
      <w:start w:val="1"/>
    </w:lvl>
    <w:lvl w:ilvl="1">
      <w:lvlJc w:val="left"/>
      <w:lvlText w:val="%2."/>
      <w:numFmt w:val="decimal"/>
      <w:start w:val="9"/>
    </w:lvl>
  </w:abstractNum>
  <w:abstractNum w:abstractNumId="6">
    <w:nsid w:val="62BBD95A"/>
    <w:multiLevelType w:val="hybridMultilevel"/>
    <w:lvl w:ilvl="0">
      <w:lvlJc w:val="left"/>
      <w:lvlText w:val="(%1)"/>
      <w:numFmt w:val="decimal"/>
      <w:start w:val="1"/>
    </w:lvl>
    <w:lvl w:ilvl="1">
      <w:lvlJc w:val="left"/>
      <w:lvlText w:val="%2"/>
      <w:numFmt w:val="decimal"/>
      <w:start w:val="1"/>
    </w:lvl>
  </w:abstractNum>
  <w:abstractNum w:abstractNumId="7">
    <w:nsid w:val="436C6125"/>
    <w:multiLevelType w:val="hybridMultilevel"/>
    <w:lvl w:ilvl="0">
      <w:lvlJc w:val="left"/>
      <w:lvlText w:val="%1."/>
      <w:numFmt w:val="decimal"/>
      <w:start w:val="1"/>
    </w:lvl>
    <w:lvl w:ilvl="1">
      <w:lvlJc w:val="left"/>
      <w:lvlText w:val="(%2)"/>
      <w:numFmt w:val="lowerLetter"/>
      <w:start w:val="1"/>
    </w:lvl>
  </w:abstractNum>
  <w:abstractNum w:abstractNumId="8">
    <w:nsid w:val="628C895D"/>
    <w:multiLevelType w:val="hybridMultilevel"/>
    <w:lvl w:ilvl="0">
      <w:lvlJc w:val="left"/>
      <w:lvlText w:val="%1"/>
      <w:numFmt w:val="decimal"/>
      <w:start w:val="1"/>
    </w:lvl>
    <w:lvl w:ilvl="1">
      <w:lvlJc w:val="left"/>
      <w:lvlText w:val="%2."/>
      <w:numFmt w:val="decimal"/>
      <w:start w:val="9"/>
    </w:lvl>
  </w:abstractNum>
  <w:abstractNum w:abstractNumId="9">
    <w:nsid w:val="333AB105"/>
    <w:multiLevelType w:val="hybridMultilevel"/>
    <w:lvl w:ilvl="0">
      <w:lvlJc w:val="left"/>
      <w:lvlText w:val="(%1)"/>
      <w:numFmt w:val="decimal"/>
      <w:start w:val="1"/>
    </w:lvl>
    <w:lvl w:ilvl="1">
      <w:lvlJc w:val="left"/>
      <w:lvlText w:val="%2"/>
      <w:numFmt w:val="decimal"/>
      <w:start w:val="1"/>
    </w:lvl>
  </w:abstractNum>
  <w:abstractNum w:abstractNumId="10">
    <w:nsid w:val="721DA317"/>
    <w:multiLevelType w:val="hybridMultilevel"/>
    <w:lvl w:ilvl="0">
      <w:lvlJc w:val="left"/>
      <w:lvlText w:val="%1."/>
      <w:numFmt w:val="decimal"/>
      <w:start w:val="1"/>
    </w:lvl>
    <w:lvl w:ilvl="1">
      <w:lvlJc w:val="left"/>
      <w:lvlText w:val="(%2)"/>
      <w:numFmt w:val="lowerLetter"/>
      <w:start w:val="1"/>
    </w:lvl>
  </w:abstractNum>
  <w:abstractNum w:abstractNumId="11">
    <w:nsid w:val="2443A858"/>
    <w:multiLevelType w:val="hybridMultilevel"/>
    <w:lvl w:ilvl="0">
      <w:lvlJc w:val="left"/>
      <w:lvlText w:val="%1"/>
      <w:numFmt w:val="decimal"/>
      <w:start w:val="1"/>
    </w:lvl>
    <w:lvl w:ilvl="1">
      <w:lvlJc w:val="left"/>
      <w:lvlText w:val="%2."/>
      <w:numFmt w:val="decimal"/>
      <w:start w:val="9"/>
    </w:lvl>
  </w:abstractNum>
  <w:abstractNum w:abstractNumId="12">
    <w:nsid w:val="2D1D5AE9"/>
    <w:multiLevelType w:val="hybridMultilevel"/>
    <w:lvl w:ilvl="0">
      <w:lvlJc w:val="left"/>
      <w:lvlText w:val="(%1)"/>
      <w:numFmt w:val="decimal"/>
      <w:start w:val="1"/>
    </w:lvl>
    <w:lvl w:ilvl="1">
      <w:lvlJc w:val="left"/>
      <w:lvlText w:val="%2"/>
      <w:numFmt w:val="decimal"/>
      <w:start w:val="1"/>
    </w:lvl>
  </w:abstractNum>
  <w:abstractNum w:abstractNumId="13">
    <w:nsid w:val="6763845E"/>
    <w:multiLevelType w:val="hybridMultilevel"/>
    <w:lvl w:ilvl="0">
      <w:lvlJc w:val="left"/>
      <w:lvlText w:val="%1."/>
      <w:numFmt w:val="decimal"/>
      <w:start w:val="1"/>
    </w:lvl>
    <w:lvl w:ilvl="1">
      <w:lvlJc w:val="left"/>
      <w:lvlText w:val="(%2)"/>
      <w:numFmt w:val="lowerLetter"/>
      <w:start w:val="1"/>
    </w:lvl>
  </w:abstractNum>
  <w:abstractNum w:abstractNumId="14">
    <w:nsid w:val="75A2A8D4"/>
    <w:multiLevelType w:val="hybridMultilevel"/>
    <w:lvl w:ilvl="0">
      <w:lvlJc w:val="left"/>
      <w:lvlText w:val="%1"/>
      <w:numFmt w:val="decimal"/>
      <w:start w:val="1"/>
    </w:lvl>
    <w:lvl w:ilvl="1">
      <w:lvlJc w:val="left"/>
      <w:lvlText w:val="%2."/>
      <w:numFmt w:val="decimal"/>
      <w:start w:val="9"/>
    </w:lvl>
  </w:abstractNum>
  <w:abstractNum w:abstractNumId="15">
    <w:nsid w:val="8EDBDAB"/>
    <w:multiLevelType w:val="hybridMultilevel"/>
    <w:lvl w:ilvl="0">
      <w:lvlJc w:val="left"/>
      <w:lvlText w:val="(%1)"/>
      <w:numFmt w:val="decimal"/>
      <w:start w:val="1"/>
    </w:lvl>
    <w:lvl w:ilvl="1">
      <w:lvlJc w:val="left"/>
      <w:lvlText w:val="%2"/>
      <w:numFmt w:val="decimal"/>
      <w:start w:val="1"/>
    </w:lvl>
  </w:abstractNum>
  <w:abstractNum w:abstractNumId="16">
    <w:nsid w:val="79838CB2"/>
    <w:multiLevelType w:val="hybridMultilevel"/>
    <w:lvl w:ilvl="0">
      <w:lvlJc w:val="left"/>
      <w:lvlText w:val="%1."/>
      <w:numFmt w:val="decimal"/>
      <w:start w:val="1"/>
    </w:lvl>
    <w:lvl w:ilvl="1">
      <w:lvlJc w:val="left"/>
      <w:lvlText w:val="(%2)"/>
      <w:numFmt w:val="lowerLetter"/>
      <w:start w:val="1"/>
    </w:lvl>
  </w:abstractNum>
  <w:abstractNum w:abstractNumId="17">
    <w:nsid w:val="4353D0CD"/>
    <w:multiLevelType w:val="hybridMultilevel"/>
    <w:lvl w:ilvl="0">
      <w:lvlJc w:val="left"/>
      <w:lvlText w:val="%1"/>
      <w:numFmt w:val="decimal"/>
      <w:start w:val="1"/>
    </w:lvl>
    <w:lvl w:ilvl="1">
      <w:lvlJc w:val="left"/>
      <w:lvlText w:val="%2."/>
      <w:numFmt w:val="decimal"/>
      <w:start w:val="9"/>
    </w:lvl>
  </w:abstractNum>
  <w:abstractNum w:abstractNumId="18">
    <w:nsid w:val="B03E0C6"/>
    <w:multiLevelType w:val="hybridMultilevel"/>
    <w:lvl w:ilvl="0">
      <w:lvlJc w:val="left"/>
      <w:lvlText w:val="(%1)"/>
      <w:numFmt w:val="decimal"/>
      <w:start w:val="1"/>
    </w:lvl>
    <w:lvl w:ilvl="1">
      <w:lvlJc w:val="left"/>
      <w:lvlText w:val="%2"/>
      <w:numFmt w:val="decimal"/>
      <w:start w:val="1"/>
    </w:lvl>
  </w:abstractNum>
  <w:abstractNum w:abstractNumId="19">
    <w:nsid w:val="189A769B"/>
    <w:multiLevelType w:val="hybridMultilevel"/>
    <w:lvl w:ilvl="0">
      <w:lvlJc w:val="left"/>
      <w:lvlText w:val="%1."/>
      <w:numFmt w:val="decimal"/>
      <w:start w:val="1"/>
    </w:lvl>
    <w:lvl w:ilvl="1">
      <w:lvlJc w:val="left"/>
      <w:lvlText w:val="(%2)"/>
      <w:numFmt w:val="lowerLetter"/>
      <w:start w:val="1"/>
    </w:lvl>
  </w:abstractNum>
  <w:abstractNum w:abstractNumId="20">
    <w:nsid w:val="54E49EB4"/>
    <w:multiLevelType w:val="hybridMultilevel"/>
    <w:lvl w:ilvl="0">
      <w:lvlJc w:val="left"/>
      <w:lvlText w:val="%1"/>
      <w:numFmt w:val="decimal"/>
      <w:start w:val="1"/>
    </w:lvl>
    <w:lvl w:ilvl="1">
      <w:lvlJc w:val="left"/>
      <w:lvlText w:val="%2."/>
      <w:numFmt w:val="decimal"/>
      <w:start w:val="9"/>
    </w:lvl>
  </w:abstractNum>
  <w:abstractNum w:abstractNumId="21">
    <w:nsid w:val="71F32454"/>
    <w:multiLevelType w:val="hybridMultilevel"/>
    <w:lvl w:ilvl="0">
      <w:lvlJc w:val="left"/>
      <w:lvlText w:val="(%1)"/>
      <w:numFmt w:val="decimal"/>
      <w:start w:val="1"/>
    </w:lvl>
    <w:lvl w:ilvl="1">
      <w:lvlJc w:val="left"/>
      <w:lvlText w:val="%2"/>
      <w:numFmt w:val="decimal"/>
      <w:start w:val="1"/>
    </w:lvl>
  </w:abstractNum>
  <w:abstractNum w:abstractNumId="22">
    <w:nsid w:val="2CA88611"/>
    <w:multiLevelType w:val="hybridMultilevel"/>
    <w:lvl w:ilvl="0">
      <w:lvlJc w:val="left"/>
      <w:lvlText w:val="%1."/>
      <w:numFmt w:val="decimal"/>
      <w:start w:val="1"/>
    </w:lvl>
    <w:lvl w:ilvl="1">
      <w:lvlJc w:val="left"/>
      <w:lvlText w:val="(%2)"/>
      <w:numFmt w:val="lowerLetter"/>
      <w:start w:val="1"/>
    </w:lvl>
  </w:abstractNum>
  <w:abstractNum w:abstractNumId="23">
    <w:nsid w:val="836C40E"/>
    <w:multiLevelType w:val="hybridMultilevel"/>
    <w:lvl w:ilvl="0">
      <w:lvlJc w:val="left"/>
      <w:lvlText w:val="%1"/>
      <w:numFmt w:val="decimal"/>
      <w:start w:val="1"/>
    </w:lvl>
    <w:lvl w:ilvl="1">
      <w:lvlJc w:val="left"/>
      <w:lvlText w:val="%2."/>
      <w:numFmt w:val="decimal"/>
      <w:start w:val="9"/>
    </w:lvl>
  </w:abstractNum>
  <w:abstractNum w:abstractNumId="24">
    <w:nsid w:val="2901D82"/>
    <w:multiLevelType w:val="hybridMultilevel"/>
    <w:lvl w:ilvl="0">
      <w:lvlJc w:val="left"/>
      <w:lvlText w:val="(%1)"/>
      <w:numFmt w:val="decimal"/>
      <w:start w:val="1"/>
    </w:lvl>
    <w:lvl w:ilvl="1">
      <w:lvlJc w:val="left"/>
      <w:lvlText w:val="%2"/>
      <w:numFmt w:val="decimal"/>
      <w:start w:val="1"/>
    </w:lvl>
  </w:abstractNum>
  <w:abstractNum w:abstractNumId="25">
    <w:nsid w:val="3A95F874"/>
    <w:multiLevelType w:val="hybridMultilevel"/>
    <w:lvl w:ilvl="0">
      <w:lvlJc w:val="left"/>
      <w:lvlText w:val="%1"/>
      <w:numFmt w:val="upperLetter"/>
      <w:start w:val="6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3"/>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upperLetter"/>
      <w:start w:val="1"/>
    </w:lvl>
  </w:abstractNum>
  <w:abstractNum w:abstractNumId="31">
    <w:nsid w:val="22221A70"/>
    <w:multiLevelType w:val="hybridMultilevel"/>
    <w:lvl w:ilvl="0">
      <w:lvlJc w:val="left"/>
      <w:lvlText w:val="(%1)"/>
      <w:numFmt w:val="lowerRoman"/>
      <w:start w:val="1"/>
    </w:lvl>
  </w:abstractNum>
  <w:abstractNum w:abstractNumId="32">
    <w:nsid w:val="4516DD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2019-11-28T00:14:07Z</dcterms:created>
  <dcterms:modified xsi:type="dcterms:W3CDTF">2019-11-28T00:14:07Z</dcterms:modified>
</cp:coreProperties>
</file>