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89bio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282559103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328"/>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560" w:type="dxa"/>
            <w:vAlign w:val="bottom"/>
            <w:tcBorders>
              <w:top w:val="single" w:sz="8" w:color="auto"/>
              <w:left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CUSIP No. 282559103</w:t>
            </w:r>
          </w:p>
        </w:tc>
        <w:tc>
          <w:tcPr>
            <w:tcW w:w="38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right w:val="single" w:sz="8" w:color="auto"/>
            </w:tcBorders>
          </w:tcPr>
          <w:p>
            <w:pPr>
              <w:ind w:left="244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2 of 11 Pages</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1.</w:t>
            </w:r>
          </w:p>
        </w:tc>
        <w:tc>
          <w:tcPr>
            <w:tcW w:w="280" w:type="dxa"/>
            <w:vAlign w:val="bottom"/>
            <w:tcBorders>
              <w:right w:val="single" w:sz="8" w:color="auto"/>
            </w:tcBorders>
          </w:tcPr>
          <w:p>
            <w:pPr>
              <w:spacing w:after="0"/>
              <w:rPr>
                <w:sz w:val="20"/>
                <w:szCs w:val="20"/>
                <w:color w:val="auto"/>
              </w:rPr>
            </w:pPr>
          </w:p>
        </w:tc>
        <w:tc>
          <w:tcPr>
            <w:tcW w:w="2280" w:type="dxa"/>
            <w:vAlign w:val="bottom"/>
            <w:gridSpan w:val="4"/>
          </w:tcPr>
          <w:p>
            <w:pPr>
              <w:ind w:left="40"/>
              <w:spacing w:after="0"/>
              <w:rPr>
                <w:sz w:val="20"/>
                <w:szCs w:val="20"/>
                <w:color w:val="auto"/>
              </w:rPr>
            </w:pPr>
            <w:r>
              <w:rPr>
                <w:rFonts w:ascii="Arial" w:cs="Arial" w:eastAsia="Arial" w:hAnsi="Arial"/>
                <w:sz w:val="18"/>
                <w:szCs w:val="18"/>
                <w:color w:val="auto"/>
                <w:w w:val="95"/>
              </w:rPr>
              <w:t>Names of Reporting Persons</w:t>
            </w: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6"/>
              </w:rPr>
              <w:t>Pontifax 5 G.P. L.P.</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center"/>
              <w:ind w:left="210"/>
              <w:spacing w:after="0" w:line="170" w:lineRule="exact"/>
              <w:rPr>
                <w:sz w:val="20"/>
                <w:szCs w:val="20"/>
                <w:color w:val="auto"/>
              </w:rPr>
            </w:pPr>
            <w:r>
              <w:rPr>
                <w:rFonts w:ascii="Arial" w:cs="Arial" w:eastAsia="Arial" w:hAnsi="Arial"/>
                <w:sz w:val="18"/>
                <w:szCs w:val="18"/>
                <w:b w:val="1"/>
                <w:bCs w:val="1"/>
                <w:color w:val="auto"/>
                <w:w w:val="92"/>
              </w:rPr>
              <w:t>2.</w:t>
            </w:r>
          </w:p>
        </w:tc>
        <w:tc>
          <w:tcPr>
            <w:tcW w:w="280" w:type="dxa"/>
            <w:vAlign w:val="bottom"/>
            <w:tcBorders>
              <w:right w:val="single" w:sz="8" w:color="auto"/>
            </w:tcBorders>
          </w:tcPr>
          <w:p>
            <w:pPr>
              <w:spacing w:after="0"/>
              <w:rPr>
                <w:sz w:val="14"/>
                <w:szCs w:val="14"/>
                <w:color w:val="auto"/>
              </w:rPr>
            </w:pPr>
          </w:p>
        </w:tc>
        <w:tc>
          <w:tcPr>
            <w:tcW w:w="7740" w:type="dxa"/>
            <w:vAlign w:val="bottom"/>
            <w:gridSpan w:val="5"/>
          </w:tcPr>
          <w:p>
            <w:pPr>
              <w:ind w:left="4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840" w:type="dxa"/>
            <w:vAlign w:val="bottom"/>
            <w:tcBorders>
              <w:right w:val="single" w:sz="8" w:color="auto"/>
            </w:tcBorders>
          </w:tcPr>
          <w:p>
            <w:pPr>
              <w:ind w:left="17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40" w:type="dxa"/>
            <w:vAlign w:val="bottom"/>
            <w:tcBorders>
              <w:right w:val="single" w:sz="8" w:color="auto"/>
            </w:tcBorders>
          </w:tcPr>
          <w:p>
            <w:pPr>
              <w:ind w:left="1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3.</w:t>
            </w:r>
          </w:p>
        </w:tc>
        <w:tc>
          <w:tcPr>
            <w:tcW w:w="280" w:type="dxa"/>
            <w:vAlign w:val="bottom"/>
            <w:tcBorders>
              <w:right w:val="single" w:sz="8" w:color="auto"/>
            </w:tcBorders>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4.</w:t>
            </w:r>
          </w:p>
        </w:tc>
        <w:tc>
          <w:tcPr>
            <w:tcW w:w="280" w:type="dxa"/>
            <w:vAlign w:val="bottom"/>
            <w:tcBorders>
              <w:right w:val="single" w:sz="8" w:color="auto"/>
            </w:tcBorders>
          </w:tcPr>
          <w:p>
            <w:pPr>
              <w:spacing w:after="0"/>
              <w:rPr>
                <w:sz w:val="20"/>
                <w:szCs w:val="20"/>
                <w:color w:val="auto"/>
              </w:rPr>
            </w:pPr>
          </w:p>
        </w:tc>
        <w:tc>
          <w:tcPr>
            <w:tcW w:w="774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Israel</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20"/>
                <w:szCs w:val="20"/>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tcBorders>
          </w:tcPr>
          <w:p>
            <w:pPr>
              <w:spacing w:after="0"/>
              <w:rPr>
                <w:sz w:val="24"/>
                <w:szCs w:val="24"/>
                <w:color w:val="auto"/>
              </w:rPr>
            </w:pPr>
          </w:p>
        </w:tc>
        <w:tc>
          <w:tcPr>
            <w:tcW w:w="176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b w:val="1"/>
                <w:bCs w:val="1"/>
                <w:color w:val="auto"/>
              </w:rPr>
              <w:t>NUMBER OF</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0</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tcBorders>
          </w:tcPr>
          <w:p>
            <w:pPr>
              <w:spacing w:after="0"/>
              <w:rPr>
                <w:sz w:val="14"/>
                <w:szCs w:val="14"/>
                <w:color w:val="auto"/>
              </w:rPr>
            </w:pPr>
          </w:p>
        </w:tc>
        <w:tc>
          <w:tcPr>
            <w:tcW w:w="1760" w:type="dxa"/>
            <w:vAlign w:val="bottom"/>
            <w:tcBorders>
              <w:right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ind w:right="30"/>
              <w:spacing w:after="0" w:line="162"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4"/>
                <w:szCs w:val="14"/>
                <w:color w:val="auto"/>
              </w:rPr>
            </w:pPr>
          </w:p>
        </w:tc>
        <w:tc>
          <w:tcPr>
            <w:tcW w:w="5460" w:type="dxa"/>
            <w:vAlign w:val="bottom"/>
          </w:tcPr>
          <w:p>
            <w:pPr>
              <w:ind w:left="40"/>
              <w:spacing w:after="0" w:line="162" w:lineRule="exact"/>
              <w:rPr>
                <w:sz w:val="20"/>
                <w:szCs w:val="20"/>
                <w:color w:val="auto"/>
              </w:rPr>
            </w:pPr>
            <w:r>
              <w:rPr>
                <w:rFonts w:ascii="Arial" w:cs="Arial" w:eastAsia="Arial" w:hAnsi="Arial"/>
                <w:sz w:val="18"/>
                <w:szCs w:val="18"/>
                <w:color w:val="auto"/>
              </w:rPr>
              <w:t>Shared Voting Power</w:t>
            </w: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60" w:type="dxa"/>
            <w:vAlign w:val="bottom"/>
            <w:tcBorders>
              <w:left w:val="single" w:sz="8" w:color="auto"/>
            </w:tcBorders>
          </w:tcPr>
          <w:p>
            <w:pPr>
              <w:spacing w:after="0"/>
              <w:rPr>
                <w:sz w:val="17"/>
                <w:szCs w:val="17"/>
                <w:color w:val="auto"/>
              </w:rPr>
            </w:pPr>
          </w:p>
        </w:tc>
        <w:tc>
          <w:tcPr>
            <w:tcW w:w="1760" w:type="dxa"/>
            <w:vAlign w:val="bottom"/>
            <w:tcBorders>
              <w:right w:val="single" w:sz="8" w:color="auto"/>
            </w:tcBorders>
            <w:gridSpan w:val="2"/>
          </w:tcPr>
          <w:p>
            <w:pPr>
              <w:jc w:val="center"/>
              <w:ind w:right="470"/>
              <w:spacing w:after="0" w:line="198" w:lineRule="exact"/>
              <w:rPr>
                <w:sz w:val="20"/>
                <w:szCs w:val="20"/>
                <w:color w:val="auto"/>
              </w:rPr>
            </w:pPr>
            <w:r>
              <w:rPr>
                <w:rFonts w:ascii="Arial" w:cs="Arial" w:eastAsia="Arial" w:hAnsi="Arial"/>
                <w:sz w:val="18"/>
                <w:szCs w:val="18"/>
                <w:b w:val="1"/>
                <w:bCs w:val="1"/>
                <w:color w:val="auto"/>
                <w:w w:val="95"/>
              </w:rPr>
              <w:t>SHARES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60" w:type="dxa"/>
            <w:vAlign w:val="bottom"/>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460" w:type="dxa"/>
            <w:vAlign w:val="bottom"/>
          </w:tcPr>
          <w:p>
            <w:pPr>
              <w:ind w:left="40"/>
              <w:spacing w:after="0" w:line="275" w:lineRule="exact"/>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2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560" w:type="dxa"/>
            <w:vAlign w:val="bottom"/>
            <w:tcBorders>
              <w:left w:val="single" w:sz="8" w:color="auto"/>
            </w:tcBorders>
          </w:tcPr>
          <w:p>
            <w:pPr>
              <w:spacing w:after="0"/>
              <w:rPr>
                <w:sz w:val="5"/>
                <w:szCs w:val="5"/>
                <w:color w:val="auto"/>
              </w:rPr>
            </w:pPr>
          </w:p>
        </w:tc>
        <w:tc>
          <w:tcPr>
            <w:tcW w:w="1760" w:type="dxa"/>
            <w:vAlign w:val="bottom"/>
            <w:tcBorders>
              <w:right w:val="single" w:sz="8" w:color="auto"/>
            </w:tcBorders>
            <w:gridSpan w:val="2"/>
            <w:vMerge w:val="restart"/>
          </w:tcPr>
          <w:p>
            <w:pPr>
              <w:jc w:val="center"/>
              <w:ind w:right="470"/>
              <w:spacing w:after="0" w:line="157" w:lineRule="exact"/>
              <w:rPr>
                <w:sz w:val="20"/>
                <w:szCs w:val="20"/>
                <w:color w:val="auto"/>
              </w:rPr>
            </w:pPr>
            <w:r>
              <w:rPr>
                <w:rFonts w:ascii="Arial" w:cs="Arial" w:eastAsia="Arial" w:hAnsi="Arial"/>
                <w:sz w:val="18"/>
                <w:szCs w:val="18"/>
                <w:b w:val="1"/>
                <w:bCs w:val="1"/>
                <w:color w:val="auto"/>
              </w:rPr>
              <w:t>OWNED BY</w:t>
            </w:r>
          </w:p>
        </w:tc>
        <w:tc>
          <w:tcPr>
            <w:tcW w:w="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560" w:type="dxa"/>
            <w:vAlign w:val="bottom"/>
            <w:tcBorders>
              <w:left w:val="single" w:sz="8" w:color="auto"/>
            </w:tcBorders>
          </w:tcPr>
          <w:p>
            <w:pPr>
              <w:spacing w:after="0"/>
              <w:rPr>
                <w:sz w:val="6"/>
                <w:szCs w:val="6"/>
                <w:color w:val="auto"/>
              </w:rPr>
            </w:pPr>
          </w:p>
        </w:tc>
        <w:tc>
          <w:tcPr>
            <w:tcW w:w="17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6"/>
                <w:szCs w:val="6"/>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56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EACH</w:t>
            </w:r>
          </w:p>
        </w:tc>
        <w:tc>
          <w:tcPr>
            <w:tcW w:w="1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56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b w:val="1"/>
                <w:bCs w:val="1"/>
                <w:color w:val="auto"/>
              </w:rPr>
              <w:t>REPORTING</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3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5460" w:type="dxa"/>
            <w:vAlign w:val="bottom"/>
            <w:tcBorders>
              <w:bottom w:val="single" w:sz="8" w:color="auto"/>
            </w:tcBorders>
            <w:vMerge w:val="continue"/>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32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5"/>
                <w:szCs w:val="5"/>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60" w:type="dxa"/>
            <w:vAlign w:val="bottom"/>
            <w:vMerge w:val="continue"/>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9.</w:t>
            </w:r>
          </w:p>
        </w:tc>
        <w:tc>
          <w:tcPr>
            <w:tcW w:w="280" w:type="dxa"/>
            <w:vAlign w:val="bottom"/>
            <w:tcBorders>
              <w:right w:val="single" w:sz="8" w:color="auto"/>
            </w:tcBorders>
          </w:tcPr>
          <w:p>
            <w:pPr>
              <w:spacing w:after="0"/>
              <w:rPr>
                <w:sz w:val="20"/>
                <w:szCs w:val="20"/>
                <w:color w:val="auto"/>
              </w:rPr>
            </w:pPr>
          </w:p>
        </w:tc>
        <w:tc>
          <w:tcPr>
            <w:tcW w:w="2280" w:type="dxa"/>
            <w:vAlign w:val="bottom"/>
            <w:gridSpan w:val="4"/>
          </w:tcPr>
          <w:p>
            <w:pPr>
              <w:ind w:left="40"/>
              <w:spacing w:after="0"/>
              <w:rPr>
                <w:sz w:val="20"/>
                <w:szCs w:val="20"/>
                <w:color w:val="auto"/>
              </w:rPr>
            </w:pPr>
            <w:r>
              <w:rPr>
                <w:rFonts w:ascii="Arial" w:cs="Arial" w:eastAsia="Arial" w:hAnsi="Arial"/>
                <w:sz w:val="18"/>
                <w:szCs w:val="18"/>
                <w:color w:val="auto"/>
                <w:w w:val="89"/>
              </w:rPr>
              <w:t>Aggregate Amount Beneficially</w:t>
            </w:r>
          </w:p>
        </w:tc>
        <w:tc>
          <w:tcPr>
            <w:tcW w:w="5460" w:type="dxa"/>
            <w:vAlign w:val="bottom"/>
          </w:tcPr>
          <w:p>
            <w:pPr>
              <w:ind w:left="120"/>
              <w:spacing w:after="0"/>
              <w:rPr>
                <w:sz w:val="20"/>
                <w:szCs w:val="20"/>
                <w:color w:val="auto"/>
              </w:rPr>
            </w:pPr>
            <w:r>
              <w:rPr>
                <w:rFonts w:ascii="Arial" w:cs="Arial" w:eastAsia="Arial" w:hAnsi="Arial"/>
                <w:sz w:val="18"/>
                <w:szCs w:val="18"/>
                <w:color w:val="auto"/>
              </w:rPr>
              <w:t>Owned by Each Reporting Person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0" w:type="dxa"/>
            <w:vAlign w:val="bottom"/>
            <w:tcBorders>
              <w:left w:val="single" w:sz="8" w:color="auto"/>
            </w:tcBorders>
          </w:tcPr>
          <w:p>
            <w:pPr>
              <w:jc w:val="center"/>
              <w:ind w:left="210"/>
              <w:spacing w:after="0" w:line="201" w:lineRule="exact"/>
              <w:rPr>
                <w:sz w:val="20"/>
                <w:szCs w:val="20"/>
                <w:color w:val="auto"/>
              </w:rPr>
            </w:pPr>
            <w:r>
              <w:rPr>
                <w:rFonts w:ascii="Arial" w:cs="Arial" w:eastAsia="Arial" w:hAnsi="Arial"/>
                <w:sz w:val="18"/>
                <w:szCs w:val="18"/>
                <w:b w:val="1"/>
                <w:bCs w:val="1"/>
                <w:color w:val="auto"/>
                <w:w w:val="87"/>
              </w:rPr>
              <w:t>10.</w:t>
            </w:r>
          </w:p>
        </w:tc>
        <w:tc>
          <w:tcPr>
            <w:tcW w:w="280" w:type="dxa"/>
            <w:vAlign w:val="bottom"/>
            <w:tcBorders>
              <w:right w:val="single" w:sz="8" w:color="auto"/>
            </w:tcBorders>
          </w:tcPr>
          <w:p>
            <w:pPr>
              <w:spacing w:after="0"/>
              <w:rPr>
                <w:sz w:val="17"/>
                <w:szCs w:val="17"/>
                <w:color w:val="auto"/>
              </w:rPr>
            </w:pPr>
          </w:p>
        </w:tc>
        <w:tc>
          <w:tcPr>
            <w:tcW w:w="7740" w:type="dxa"/>
            <w:vAlign w:val="bottom"/>
            <w:gridSpan w:val="5"/>
          </w:tcPr>
          <w:p>
            <w:pPr>
              <w:ind w:left="40"/>
              <w:spacing w:after="0" w:line="201" w:lineRule="exact"/>
              <w:rPr>
                <w:sz w:val="20"/>
                <w:szCs w:val="20"/>
                <w:color w:val="auto"/>
              </w:rPr>
            </w:pPr>
            <w:r>
              <w:rPr>
                <w:rFonts w:ascii="Arial" w:cs="Arial" w:eastAsia="Arial" w:hAnsi="Arial"/>
                <w:sz w:val="18"/>
                <w:szCs w:val="18"/>
                <w:color w:val="auto"/>
              </w:rPr>
              <w:t>Check if the Aggregate Amount in Row (9) Excludes Certain Shares</w:t>
            </w:r>
          </w:p>
        </w:tc>
        <w:tc>
          <w:tcPr>
            <w:tcW w:w="2840" w:type="dxa"/>
            <w:vAlign w:val="bottom"/>
            <w:tcBorders>
              <w:right w:val="single" w:sz="8" w:color="auto"/>
            </w:tcBorders>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740" w:type="dxa"/>
            <w:vAlign w:val="bottom"/>
            <w:tcBorders>
              <w:bottom w:val="single" w:sz="8" w:color="auto"/>
            </w:tcBorders>
            <w:gridSpan w:val="5"/>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7"/>
              </w:rPr>
              <w:t>11.</w:t>
            </w:r>
          </w:p>
        </w:tc>
        <w:tc>
          <w:tcPr>
            <w:tcW w:w="280" w:type="dxa"/>
            <w:vAlign w:val="bottom"/>
            <w:tcBorders>
              <w:right w:val="single" w:sz="8" w:color="auto"/>
            </w:tcBorders>
          </w:tcPr>
          <w:p>
            <w:pPr>
              <w:spacing w:after="0"/>
              <w:rPr>
                <w:sz w:val="20"/>
                <w:szCs w:val="20"/>
                <w:color w:val="auto"/>
              </w:rPr>
            </w:pPr>
          </w:p>
        </w:tc>
        <w:tc>
          <w:tcPr>
            <w:tcW w:w="774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8.2%</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7"/>
              </w:rPr>
              <w:t>12.</w:t>
            </w:r>
          </w:p>
        </w:tc>
        <w:tc>
          <w:tcPr>
            <w:tcW w:w="280" w:type="dxa"/>
            <w:vAlign w:val="bottom"/>
            <w:tcBorders>
              <w:right w:val="single" w:sz="8" w:color="auto"/>
            </w:tcBorders>
          </w:tcPr>
          <w:p>
            <w:pPr>
              <w:spacing w:after="0"/>
              <w:rPr>
                <w:sz w:val="20"/>
                <w:szCs w:val="20"/>
                <w:color w:val="auto"/>
              </w:rPr>
            </w:pPr>
          </w:p>
        </w:tc>
        <w:tc>
          <w:tcPr>
            <w:tcW w:w="774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PN</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40" w:hanging="232"/>
        <w:spacing w:after="0" w:line="272" w:lineRule="auto"/>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Consists of (a) 668,732 shares held by Pontifax (Israel) V, L.P., (b) 178,623 shares held by Pontifax (Cayman) V, L.P., (c) 259,816 shares held by Pontifax (China) V, L.P. and (d) 27,500 shares held by Pontifax Late Stage Fund L.P. (“Late Stage L.P.”). Pontifax 5 G.P. L.P. (“Pontifax 5 GP”) is the general partner of each of Pontifax (Israel) V, L.P., Pontifax (Cayman) V, L.P., and Pontifax (China) V, L.P. (collectively, the “Pontifax Entities”). Pontifax Management 4 G.P. (2015) Ltd. (“Pontifax Management”) is the general partner of Pontifax 5 GP. Mr. Tomer Kariv and Mr. Ran Nussbaum are the directors of Pontifax Management. Late Stage L.P. is an affiliate of the Reporting Persons listed in this report who de facto control Late Stage L.P.. Each of Mr. Kariv and Mr. Nussbaum disclaim beneficial ownership of the shares held by the Pontifax Entities and Late Stage L.P., and the inclusion of such shares in this Schedule 13G, as amended, shall not be deemed to be an admission of beneficial ownership of the reported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560" w:type="dxa"/>
            <w:vAlign w:val="bottom"/>
            <w:tcBorders>
              <w:top w:val="single" w:sz="8" w:color="auto"/>
              <w:left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CUSIP No. 282559103</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right w:val="single" w:sz="8" w:color="auto"/>
            </w:tcBorders>
          </w:tcPr>
          <w:p>
            <w:pPr>
              <w:ind w:left="244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3 of 11 Pages</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1.</w:t>
            </w:r>
          </w:p>
        </w:tc>
        <w:tc>
          <w:tcPr>
            <w:tcW w:w="280" w:type="dxa"/>
            <w:vAlign w:val="bottom"/>
            <w:tcBorders>
              <w:right w:val="single" w:sz="8" w:color="auto"/>
            </w:tcBorders>
          </w:tcPr>
          <w:p>
            <w:pPr>
              <w:spacing w:after="0"/>
              <w:rPr>
                <w:sz w:val="20"/>
                <w:szCs w:val="20"/>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color w:val="auto"/>
                <w:w w:val="95"/>
              </w:rPr>
              <w:t>Names of Reporting Persons</w:t>
            </w: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Pontifax Management 4 G.P. (2015) Ltd.</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center"/>
              <w:ind w:left="210"/>
              <w:spacing w:after="0" w:line="170" w:lineRule="exact"/>
              <w:rPr>
                <w:sz w:val="20"/>
                <w:szCs w:val="20"/>
                <w:color w:val="auto"/>
              </w:rPr>
            </w:pPr>
            <w:r>
              <w:rPr>
                <w:rFonts w:ascii="Arial" w:cs="Arial" w:eastAsia="Arial" w:hAnsi="Arial"/>
                <w:sz w:val="18"/>
                <w:szCs w:val="18"/>
                <w:b w:val="1"/>
                <w:bCs w:val="1"/>
                <w:color w:val="auto"/>
                <w:w w:val="92"/>
              </w:rPr>
              <w:t>2.</w:t>
            </w:r>
          </w:p>
        </w:tc>
        <w:tc>
          <w:tcPr>
            <w:tcW w:w="280" w:type="dxa"/>
            <w:vAlign w:val="bottom"/>
            <w:tcBorders>
              <w:right w:val="single" w:sz="8" w:color="auto"/>
            </w:tcBorders>
          </w:tcPr>
          <w:p>
            <w:pPr>
              <w:spacing w:after="0"/>
              <w:rPr>
                <w:sz w:val="14"/>
                <w:szCs w:val="14"/>
                <w:color w:val="auto"/>
              </w:rPr>
            </w:pPr>
          </w:p>
        </w:tc>
        <w:tc>
          <w:tcPr>
            <w:tcW w:w="7740" w:type="dxa"/>
            <w:vAlign w:val="bottom"/>
            <w:gridSpan w:val="4"/>
          </w:tcPr>
          <w:p>
            <w:pPr>
              <w:ind w:left="4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840" w:type="dxa"/>
            <w:vAlign w:val="bottom"/>
            <w:tcBorders>
              <w:right w:val="single" w:sz="8" w:color="auto"/>
            </w:tcBorders>
          </w:tcPr>
          <w:p>
            <w:pPr>
              <w:ind w:left="17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See</w:t>
            </w:r>
            <w:r>
              <w:rPr>
                <w:rFonts w:ascii="Arial" w:cs="Arial" w:eastAsia="Arial" w:hAnsi="Arial"/>
                <w:sz w:val="18"/>
                <w:szCs w:val="18"/>
                <w:color w:val="auto"/>
                <w:w w:val="99"/>
              </w:rPr>
              <w:t xml:space="preserve"> Instructions)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40" w:type="dxa"/>
            <w:vAlign w:val="bottom"/>
            <w:tcBorders>
              <w:right w:val="single" w:sz="8" w:color="auto"/>
            </w:tcBorders>
          </w:tcPr>
          <w:p>
            <w:pPr>
              <w:ind w:left="1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3.</w:t>
            </w:r>
          </w:p>
        </w:tc>
        <w:tc>
          <w:tcPr>
            <w:tcW w:w="280" w:type="dxa"/>
            <w:vAlign w:val="bottom"/>
            <w:tcBorders>
              <w:right w:val="single" w:sz="8" w:color="auto"/>
            </w:tcBorders>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4.</w:t>
            </w:r>
          </w:p>
        </w:tc>
        <w:tc>
          <w:tcPr>
            <w:tcW w:w="280" w:type="dxa"/>
            <w:vAlign w:val="bottom"/>
            <w:tcBorders>
              <w:right w:val="single" w:sz="8" w:color="auto"/>
            </w:tcBorders>
          </w:tcPr>
          <w:p>
            <w:pPr>
              <w:spacing w:after="0"/>
              <w:rPr>
                <w:sz w:val="20"/>
                <w:szCs w:val="20"/>
                <w:color w:val="auto"/>
              </w:rPr>
            </w:pPr>
          </w:p>
        </w:tc>
        <w:tc>
          <w:tcPr>
            <w:tcW w:w="774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Israel</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20"/>
                <w:szCs w:val="20"/>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tcBorders>
          </w:tcPr>
          <w:p>
            <w:pPr>
              <w:spacing w:after="0"/>
              <w:rPr>
                <w:sz w:val="24"/>
                <w:szCs w:val="24"/>
                <w:color w:val="auto"/>
              </w:rPr>
            </w:pPr>
          </w:p>
        </w:tc>
        <w:tc>
          <w:tcPr>
            <w:tcW w:w="176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0</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tcBorders>
          </w:tcPr>
          <w:p>
            <w:pPr>
              <w:spacing w:after="0"/>
              <w:rPr>
                <w:sz w:val="14"/>
                <w:szCs w:val="14"/>
                <w:color w:val="auto"/>
              </w:rPr>
            </w:pPr>
          </w:p>
        </w:tc>
        <w:tc>
          <w:tcPr>
            <w:tcW w:w="1760" w:type="dxa"/>
            <w:vAlign w:val="bottom"/>
            <w:tcBorders>
              <w:right w:val="single" w:sz="8" w:color="auto"/>
            </w:tcBorders>
            <w:gridSpan w:val="2"/>
            <w:vMerge w:val="continue"/>
          </w:tcPr>
          <w:p>
            <w:pPr>
              <w:spacing w:after="0"/>
              <w:rPr>
                <w:sz w:val="14"/>
                <w:szCs w:val="14"/>
                <w:color w:val="auto"/>
              </w:rPr>
            </w:pPr>
          </w:p>
        </w:tc>
        <w:tc>
          <w:tcPr>
            <w:tcW w:w="560" w:type="dxa"/>
            <w:vAlign w:val="bottom"/>
          </w:tcPr>
          <w:p>
            <w:pPr>
              <w:jc w:val="right"/>
              <w:ind w:right="30"/>
              <w:spacing w:after="0" w:line="162"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4"/>
                <w:szCs w:val="14"/>
                <w:color w:val="auto"/>
              </w:rPr>
            </w:pPr>
          </w:p>
        </w:tc>
        <w:tc>
          <w:tcPr>
            <w:tcW w:w="5460" w:type="dxa"/>
            <w:vAlign w:val="bottom"/>
          </w:tcPr>
          <w:p>
            <w:pPr>
              <w:ind w:left="40"/>
              <w:spacing w:after="0" w:line="162" w:lineRule="exact"/>
              <w:rPr>
                <w:sz w:val="20"/>
                <w:szCs w:val="20"/>
                <w:color w:val="auto"/>
              </w:rPr>
            </w:pPr>
            <w:r>
              <w:rPr>
                <w:rFonts w:ascii="Arial" w:cs="Arial" w:eastAsia="Arial" w:hAnsi="Arial"/>
                <w:sz w:val="18"/>
                <w:szCs w:val="18"/>
                <w:color w:val="auto"/>
              </w:rPr>
              <w:t>Shared Voting Power</w:t>
            </w: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60" w:type="dxa"/>
            <w:vAlign w:val="bottom"/>
            <w:tcBorders>
              <w:left w:val="single" w:sz="8" w:color="auto"/>
            </w:tcBorders>
          </w:tcPr>
          <w:p>
            <w:pPr>
              <w:spacing w:after="0"/>
              <w:rPr>
                <w:sz w:val="17"/>
                <w:szCs w:val="17"/>
                <w:color w:val="auto"/>
              </w:rPr>
            </w:pPr>
          </w:p>
        </w:tc>
        <w:tc>
          <w:tcPr>
            <w:tcW w:w="1760" w:type="dxa"/>
            <w:vAlign w:val="bottom"/>
            <w:tcBorders>
              <w:right w:val="single" w:sz="8" w:color="auto"/>
            </w:tcBorders>
            <w:gridSpan w:val="2"/>
          </w:tcPr>
          <w:p>
            <w:pPr>
              <w:jc w:val="center"/>
              <w:ind w:right="470"/>
              <w:spacing w:after="0" w:line="198" w:lineRule="exact"/>
              <w:rPr>
                <w:sz w:val="20"/>
                <w:szCs w:val="20"/>
                <w:color w:val="auto"/>
              </w:rPr>
            </w:pPr>
            <w:r>
              <w:rPr>
                <w:rFonts w:ascii="Arial" w:cs="Arial" w:eastAsia="Arial" w:hAnsi="Arial"/>
                <w:sz w:val="18"/>
                <w:szCs w:val="18"/>
                <w:b w:val="1"/>
                <w:bCs w:val="1"/>
                <w:color w:val="auto"/>
                <w:w w:val="95"/>
              </w:rPr>
              <w:t>SHARES</w:t>
            </w:r>
          </w:p>
        </w:tc>
        <w:tc>
          <w:tcPr>
            <w:tcW w:w="5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60" w:type="dxa"/>
            <w:vAlign w:val="bottom"/>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460" w:type="dxa"/>
            <w:vAlign w:val="bottom"/>
          </w:tcPr>
          <w:p>
            <w:pPr>
              <w:ind w:left="40"/>
              <w:spacing w:after="0" w:line="275" w:lineRule="exact"/>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2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560" w:type="dxa"/>
            <w:vAlign w:val="bottom"/>
            <w:tcBorders>
              <w:left w:val="single" w:sz="8" w:color="auto"/>
            </w:tcBorders>
          </w:tcPr>
          <w:p>
            <w:pPr>
              <w:spacing w:after="0"/>
              <w:rPr>
                <w:sz w:val="5"/>
                <w:szCs w:val="5"/>
                <w:color w:val="auto"/>
              </w:rPr>
            </w:pPr>
          </w:p>
        </w:tc>
        <w:tc>
          <w:tcPr>
            <w:tcW w:w="1760" w:type="dxa"/>
            <w:vAlign w:val="bottom"/>
            <w:tcBorders>
              <w:right w:val="single" w:sz="8" w:color="auto"/>
            </w:tcBorders>
            <w:gridSpan w:val="2"/>
            <w:vMerge w:val="restart"/>
          </w:tcPr>
          <w:p>
            <w:pPr>
              <w:jc w:val="center"/>
              <w:ind w:right="470"/>
              <w:spacing w:after="0" w:line="157" w:lineRule="exact"/>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560" w:type="dxa"/>
            <w:vAlign w:val="bottom"/>
            <w:tcBorders>
              <w:left w:val="single" w:sz="8" w:color="auto"/>
            </w:tcBorders>
          </w:tcPr>
          <w:p>
            <w:pPr>
              <w:spacing w:after="0"/>
              <w:rPr>
                <w:sz w:val="6"/>
                <w:szCs w:val="6"/>
                <w:color w:val="auto"/>
              </w:rPr>
            </w:pPr>
          </w:p>
        </w:tc>
        <w:tc>
          <w:tcPr>
            <w:tcW w:w="1760" w:type="dxa"/>
            <w:vAlign w:val="bottom"/>
            <w:tcBorders>
              <w:right w:val="single" w:sz="8" w:color="auto"/>
            </w:tcBorders>
            <w:gridSpan w:val="2"/>
            <w:vMerge w:val="continue"/>
          </w:tcPr>
          <w:p>
            <w:pPr>
              <w:spacing w:after="0"/>
              <w:rPr>
                <w:sz w:val="6"/>
                <w:szCs w:val="6"/>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6"/>
                <w:szCs w:val="6"/>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56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EACH</w:t>
            </w:r>
          </w:p>
        </w:tc>
        <w:tc>
          <w:tcPr>
            <w:tcW w:w="56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56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b w:val="1"/>
                <w:bCs w:val="1"/>
                <w:color w:val="auto"/>
              </w:rPr>
              <w:t>REPORTING</w:t>
            </w:r>
          </w:p>
        </w:tc>
        <w:tc>
          <w:tcPr>
            <w:tcW w:w="5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3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5460" w:type="dxa"/>
            <w:vAlign w:val="bottom"/>
            <w:tcBorders>
              <w:bottom w:val="single" w:sz="8" w:color="auto"/>
            </w:tcBorders>
            <w:vMerge w:val="continue"/>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320" w:type="dxa"/>
            <w:vAlign w:val="bottom"/>
            <w:tcBorders>
              <w:left w:val="single" w:sz="8" w:color="auto"/>
              <w:right w:val="single" w:sz="8" w:color="auto"/>
            </w:tcBorders>
            <w:gridSpan w:val="3"/>
            <w:vMerge w:val="continue"/>
          </w:tcPr>
          <w:p>
            <w:pPr>
              <w:spacing w:after="0"/>
              <w:rPr>
                <w:sz w:val="5"/>
                <w:szCs w:val="5"/>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5"/>
                <w:szCs w:val="5"/>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60" w:type="dxa"/>
            <w:vAlign w:val="bottom"/>
            <w:vMerge w:val="continue"/>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9.</w:t>
            </w:r>
          </w:p>
        </w:tc>
        <w:tc>
          <w:tcPr>
            <w:tcW w:w="280" w:type="dxa"/>
            <w:vAlign w:val="bottom"/>
            <w:tcBorders>
              <w:right w:val="single" w:sz="8" w:color="auto"/>
            </w:tcBorders>
          </w:tcPr>
          <w:p>
            <w:pPr>
              <w:spacing w:after="0"/>
              <w:rPr>
                <w:sz w:val="20"/>
                <w:szCs w:val="20"/>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color w:val="auto"/>
                <w:w w:val="89"/>
              </w:rPr>
              <w:t>Aggregate Amount Beneficially</w:t>
            </w:r>
          </w:p>
        </w:tc>
        <w:tc>
          <w:tcPr>
            <w:tcW w:w="5460" w:type="dxa"/>
            <w:vAlign w:val="bottom"/>
          </w:tcPr>
          <w:p>
            <w:pPr>
              <w:ind w:left="120"/>
              <w:spacing w:after="0"/>
              <w:rPr>
                <w:sz w:val="20"/>
                <w:szCs w:val="20"/>
                <w:color w:val="auto"/>
              </w:rPr>
            </w:pPr>
            <w:r>
              <w:rPr>
                <w:rFonts w:ascii="Arial" w:cs="Arial" w:eastAsia="Arial" w:hAnsi="Arial"/>
                <w:sz w:val="18"/>
                <w:szCs w:val="18"/>
                <w:color w:val="auto"/>
              </w:rPr>
              <w:t>Owned by Each Reporting Person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0" w:type="dxa"/>
            <w:vAlign w:val="bottom"/>
            <w:tcBorders>
              <w:left w:val="single" w:sz="8" w:color="auto"/>
            </w:tcBorders>
          </w:tcPr>
          <w:p>
            <w:pPr>
              <w:jc w:val="center"/>
              <w:ind w:left="210"/>
              <w:spacing w:after="0" w:line="201" w:lineRule="exact"/>
              <w:rPr>
                <w:sz w:val="20"/>
                <w:szCs w:val="20"/>
                <w:color w:val="auto"/>
              </w:rPr>
            </w:pPr>
            <w:r>
              <w:rPr>
                <w:rFonts w:ascii="Arial" w:cs="Arial" w:eastAsia="Arial" w:hAnsi="Arial"/>
                <w:sz w:val="18"/>
                <w:szCs w:val="18"/>
                <w:b w:val="1"/>
                <w:bCs w:val="1"/>
                <w:color w:val="auto"/>
                <w:w w:val="87"/>
              </w:rPr>
              <w:t>10.</w:t>
            </w:r>
          </w:p>
        </w:tc>
        <w:tc>
          <w:tcPr>
            <w:tcW w:w="280" w:type="dxa"/>
            <w:vAlign w:val="bottom"/>
            <w:tcBorders>
              <w:right w:val="single" w:sz="8" w:color="auto"/>
            </w:tcBorders>
          </w:tcPr>
          <w:p>
            <w:pPr>
              <w:spacing w:after="0"/>
              <w:rPr>
                <w:sz w:val="17"/>
                <w:szCs w:val="17"/>
                <w:color w:val="auto"/>
              </w:rPr>
            </w:pPr>
          </w:p>
        </w:tc>
        <w:tc>
          <w:tcPr>
            <w:tcW w:w="7740" w:type="dxa"/>
            <w:vAlign w:val="bottom"/>
            <w:gridSpan w:val="4"/>
          </w:tcPr>
          <w:p>
            <w:pPr>
              <w:ind w:left="40"/>
              <w:spacing w:after="0" w:line="201" w:lineRule="exact"/>
              <w:rPr>
                <w:sz w:val="20"/>
                <w:szCs w:val="20"/>
                <w:color w:val="auto"/>
              </w:rPr>
            </w:pPr>
            <w:r>
              <w:rPr>
                <w:rFonts w:ascii="Arial" w:cs="Arial" w:eastAsia="Arial" w:hAnsi="Arial"/>
                <w:sz w:val="18"/>
                <w:szCs w:val="18"/>
                <w:color w:val="auto"/>
              </w:rPr>
              <w:t>Check if the Aggregate Amount in Row (9) Excludes Certain Shares</w:t>
            </w:r>
          </w:p>
        </w:tc>
        <w:tc>
          <w:tcPr>
            <w:tcW w:w="2840" w:type="dxa"/>
            <w:vAlign w:val="bottom"/>
            <w:tcBorders>
              <w:right w:val="single" w:sz="8" w:color="auto"/>
            </w:tcBorders>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See</w:t>
            </w:r>
            <w:r>
              <w:rPr>
                <w:rFonts w:ascii="Arial" w:cs="Arial" w:eastAsia="Arial" w:hAnsi="Arial"/>
                <w:sz w:val="18"/>
                <w:szCs w:val="18"/>
                <w:color w:val="auto"/>
                <w:w w:val="99"/>
              </w:rPr>
              <w:t xml:space="preserve"> Instructions)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740" w:type="dxa"/>
            <w:vAlign w:val="bottom"/>
            <w:tcBorders>
              <w:bottom w:val="single" w:sz="8" w:color="auto"/>
            </w:tcBorders>
            <w:gridSpan w:val="4"/>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7"/>
              </w:rPr>
              <w:t>11.</w:t>
            </w:r>
          </w:p>
        </w:tc>
        <w:tc>
          <w:tcPr>
            <w:tcW w:w="280" w:type="dxa"/>
            <w:vAlign w:val="bottom"/>
            <w:tcBorders>
              <w:right w:val="single" w:sz="8" w:color="auto"/>
            </w:tcBorders>
          </w:tcPr>
          <w:p>
            <w:pPr>
              <w:spacing w:after="0"/>
              <w:rPr>
                <w:sz w:val="20"/>
                <w:szCs w:val="20"/>
                <w:color w:val="auto"/>
              </w:rPr>
            </w:pPr>
          </w:p>
        </w:tc>
        <w:tc>
          <w:tcPr>
            <w:tcW w:w="774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8.2%</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7"/>
              </w:rPr>
              <w:t>12.</w:t>
            </w:r>
          </w:p>
        </w:tc>
        <w:tc>
          <w:tcPr>
            <w:tcW w:w="280" w:type="dxa"/>
            <w:vAlign w:val="bottom"/>
            <w:tcBorders>
              <w:right w:val="single" w:sz="8" w:color="auto"/>
            </w:tcBorders>
          </w:tcPr>
          <w:p>
            <w:pPr>
              <w:spacing w:after="0"/>
              <w:rPr>
                <w:sz w:val="20"/>
                <w:szCs w:val="20"/>
                <w:color w:val="auto"/>
              </w:rPr>
            </w:pPr>
          </w:p>
        </w:tc>
        <w:tc>
          <w:tcPr>
            <w:tcW w:w="774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40" w:hanging="232"/>
        <w:spacing w:after="0" w:line="273" w:lineRule="auto"/>
        <w:tabs>
          <w:tab w:leader="none" w:pos="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(a) 668,732 shares held by Pontifax (Israel) V, L.P., (b) 178,623 shares held by Pontifax (Cayman) V, L.P., (c) 259,816 shares held by Pontifax (China) V, L.P. and (d) 27,500 shares held by Late Stage L.P.. Pontifax 5 GP is the general partner of each of the Pontifax Entities. Pontifax Management is the general partner of Pontifax 5 GP.. Mr. Tomer Kariv and Mr. Ran Nussbaum are the directors of Pontifax Management. Late Stage L.P. is an affiliate of the Reporting Persons listed in this report who de facto control Late Stage L.P.. Each of Mr. Kariv and Mr. Nussbaum disclaim beneficial ownership of the shares held by the Pontifax Entities and Late Stage L.P., and the inclusion of such shares in this Schedule 13G, as amended, shall not be deemed to be an admission of beneficial ownership of the reported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560" w:type="dxa"/>
            <w:vAlign w:val="bottom"/>
            <w:tcBorders>
              <w:top w:val="single" w:sz="8" w:color="auto"/>
              <w:left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CUSIP No. 282559103</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right w:val="single" w:sz="8" w:color="auto"/>
            </w:tcBorders>
          </w:tcPr>
          <w:p>
            <w:pPr>
              <w:ind w:left="244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4 of 11 Pages</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1.</w:t>
            </w:r>
          </w:p>
        </w:tc>
        <w:tc>
          <w:tcPr>
            <w:tcW w:w="280" w:type="dxa"/>
            <w:vAlign w:val="bottom"/>
            <w:tcBorders>
              <w:right w:val="single" w:sz="8" w:color="auto"/>
            </w:tcBorders>
          </w:tcPr>
          <w:p>
            <w:pPr>
              <w:spacing w:after="0"/>
              <w:rPr>
                <w:sz w:val="20"/>
                <w:szCs w:val="20"/>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color w:val="auto"/>
                <w:w w:val="95"/>
              </w:rPr>
              <w:t>Names of Reporting Persons</w:t>
            </w: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Ran Nussbaum</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center"/>
              <w:ind w:left="210"/>
              <w:spacing w:after="0" w:line="170" w:lineRule="exact"/>
              <w:rPr>
                <w:sz w:val="20"/>
                <w:szCs w:val="20"/>
                <w:color w:val="auto"/>
              </w:rPr>
            </w:pPr>
            <w:r>
              <w:rPr>
                <w:rFonts w:ascii="Arial" w:cs="Arial" w:eastAsia="Arial" w:hAnsi="Arial"/>
                <w:sz w:val="18"/>
                <w:szCs w:val="18"/>
                <w:b w:val="1"/>
                <w:bCs w:val="1"/>
                <w:color w:val="auto"/>
                <w:w w:val="92"/>
              </w:rPr>
              <w:t>2.</w:t>
            </w:r>
          </w:p>
        </w:tc>
        <w:tc>
          <w:tcPr>
            <w:tcW w:w="280" w:type="dxa"/>
            <w:vAlign w:val="bottom"/>
            <w:tcBorders>
              <w:right w:val="single" w:sz="8" w:color="auto"/>
            </w:tcBorders>
          </w:tcPr>
          <w:p>
            <w:pPr>
              <w:spacing w:after="0"/>
              <w:rPr>
                <w:sz w:val="14"/>
                <w:szCs w:val="14"/>
                <w:color w:val="auto"/>
              </w:rPr>
            </w:pPr>
          </w:p>
        </w:tc>
        <w:tc>
          <w:tcPr>
            <w:tcW w:w="7740" w:type="dxa"/>
            <w:vAlign w:val="bottom"/>
            <w:gridSpan w:val="4"/>
          </w:tcPr>
          <w:p>
            <w:pPr>
              <w:ind w:left="4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840" w:type="dxa"/>
            <w:vAlign w:val="bottom"/>
            <w:tcBorders>
              <w:right w:val="single" w:sz="8" w:color="auto"/>
            </w:tcBorders>
          </w:tcPr>
          <w:p>
            <w:pPr>
              <w:ind w:left="1720"/>
              <w:spacing w:after="0" w:line="170" w:lineRule="exact"/>
              <w:rPr>
                <w:sz w:val="20"/>
                <w:szCs w:val="20"/>
                <w:color w:val="auto"/>
              </w:rPr>
            </w:pPr>
            <w:r>
              <w:rPr>
                <w:rFonts w:ascii="Arial" w:cs="Arial" w:eastAsia="Arial" w:hAnsi="Arial"/>
                <w:sz w:val="18"/>
                <w:szCs w:val="18"/>
                <w:color w:val="auto"/>
              </w:rPr>
              <w:t xml:space="preserve">(c)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See</w:t>
            </w:r>
            <w:r>
              <w:rPr>
                <w:rFonts w:ascii="Arial" w:cs="Arial" w:eastAsia="Arial" w:hAnsi="Arial"/>
                <w:sz w:val="18"/>
                <w:szCs w:val="18"/>
                <w:color w:val="auto"/>
                <w:w w:val="99"/>
              </w:rPr>
              <w:t xml:space="preserve"> Instructions)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40" w:type="dxa"/>
            <w:vAlign w:val="bottom"/>
            <w:tcBorders>
              <w:right w:val="single" w:sz="8" w:color="auto"/>
            </w:tcBorders>
          </w:tcPr>
          <w:p>
            <w:pPr>
              <w:ind w:left="1720"/>
              <w:spacing w:after="0" w:line="207" w:lineRule="exact"/>
              <w:rPr>
                <w:sz w:val="20"/>
                <w:szCs w:val="20"/>
                <w:color w:val="auto"/>
              </w:rPr>
            </w:pPr>
            <w:r>
              <w:rPr>
                <w:rFonts w:ascii="Arial" w:cs="Arial" w:eastAsia="Arial" w:hAnsi="Arial"/>
                <w:sz w:val="18"/>
                <w:szCs w:val="18"/>
                <w:color w:val="auto"/>
              </w:rPr>
              <w:t xml:space="preserve">(d)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3.</w:t>
            </w:r>
          </w:p>
        </w:tc>
        <w:tc>
          <w:tcPr>
            <w:tcW w:w="280" w:type="dxa"/>
            <w:vAlign w:val="bottom"/>
            <w:tcBorders>
              <w:right w:val="single" w:sz="8" w:color="auto"/>
            </w:tcBorders>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4.</w:t>
            </w:r>
          </w:p>
        </w:tc>
        <w:tc>
          <w:tcPr>
            <w:tcW w:w="280" w:type="dxa"/>
            <w:vAlign w:val="bottom"/>
            <w:tcBorders>
              <w:right w:val="single" w:sz="8" w:color="auto"/>
            </w:tcBorders>
          </w:tcPr>
          <w:p>
            <w:pPr>
              <w:spacing w:after="0"/>
              <w:rPr>
                <w:sz w:val="20"/>
                <w:szCs w:val="20"/>
                <w:color w:val="auto"/>
              </w:rPr>
            </w:pPr>
          </w:p>
        </w:tc>
        <w:tc>
          <w:tcPr>
            <w:tcW w:w="774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Israel</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20"/>
                <w:szCs w:val="20"/>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tcBorders>
          </w:tcPr>
          <w:p>
            <w:pPr>
              <w:spacing w:after="0"/>
              <w:rPr>
                <w:sz w:val="24"/>
                <w:szCs w:val="24"/>
                <w:color w:val="auto"/>
              </w:rPr>
            </w:pPr>
          </w:p>
        </w:tc>
        <w:tc>
          <w:tcPr>
            <w:tcW w:w="176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0</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tcBorders>
          </w:tcPr>
          <w:p>
            <w:pPr>
              <w:spacing w:after="0"/>
              <w:rPr>
                <w:sz w:val="14"/>
                <w:szCs w:val="14"/>
                <w:color w:val="auto"/>
              </w:rPr>
            </w:pPr>
          </w:p>
        </w:tc>
        <w:tc>
          <w:tcPr>
            <w:tcW w:w="1760" w:type="dxa"/>
            <w:vAlign w:val="bottom"/>
            <w:tcBorders>
              <w:right w:val="single" w:sz="8" w:color="auto"/>
            </w:tcBorders>
            <w:gridSpan w:val="2"/>
            <w:vMerge w:val="continue"/>
          </w:tcPr>
          <w:p>
            <w:pPr>
              <w:spacing w:after="0"/>
              <w:rPr>
                <w:sz w:val="14"/>
                <w:szCs w:val="14"/>
                <w:color w:val="auto"/>
              </w:rPr>
            </w:pPr>
          </w:p>
        </w:tc>
        <w:tc>
          <w:tcPr>
            <w:tcW w:w="560" w:type="dxa"/>
            <w:vAlign w:val="bottom"/>
          </w:tcPr>
          <w:p>
            <w:pPr>
              <w:jc w:val="right"/>
              <w:ind w:right="30"/>
              <w:spacing w:after="0" w:line="162"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4"/>
                <w:szCs w:val="14"/>
                <w:color w:val="auto"/>
              </w:rPr>
            </w:pPr>
          </w:p>
        </w:tc>
        <w:tc>
          <w:tcPr>
            <w:tcW w:w="5460" w:type="dxa"/>
            <w:vAlign w:val="bottom"/>
          </w:tcPr>
          <w:p>
            <w:pPr>
              <w:ind w:left="40"/>
              <w:spacing w:after="0" w:line="162" w:lineRule="exact"/>
              <w:rPr>
                <w:sz w:val="20"/>
                <w:szCs w:val="20"/>
                <w:color w:val="auto"/>
              </w:rPr>
            </w:pPr>
            <w:r>
              <w:rPr>
                <w:rFonts w:ascii="Arial" w:cs="Arial" w:eastAsia="Arial" w:hAnsi="Arial"/>
                <w:sz w:val="18"/>
                <w:szCs w:val="18"/>
                <w:color w:val="auto"/>
              </w:rPr>
              <w:t>Shared Voting Power</w:t>
            </w: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60" w:type="dxa"/>
            <w:vAlign w:val="bottom"/>
            <w:tcBorders>
              <w:left w:val="single" w:sz="8" w:color="auto"/>
            </w:tcBorders>
          </w:tcPr>
          <w:p>
            <w:pPr>
              <w:spacing w:after="0"/>
              <w:rPr>
                <w:sz w:val="17"/>
                <w:szCs w:val="17"/>
                <w:color w:val="auto"/>
              </w:rPr>
            </w:pPr>
          </w:p>
        </w:tc>
        <w:tc>
          <w:tcPr>
            <w:tcW w:w="1760" w:type="dxa"/>
            <w:vAlign w:val="bottom"/>
            <w:tcBorders>
              <w:right w:val="single" w:sz="8" w:color="auto"/>
            </w:tcBorders>
            <w:gridSpan w:val="2"/>
          </w:tcPr>
          <w:p>
            <w:pPr>
              <w:jc w:val="center"/>
              <w:ind w:right="470"/>
              <w:spacing w:after="0" w:line="198" w:lineRule="exact"/>
              <w:rPr>
                <w:sz w:val="20"/>
                <w:szCs w:val="20"/>
                <w:color w:val="auto"/>
              </w:rPr>
            </w:pPr>
            <w:r>
              <w:rPr>
                <w:rFonts w:ascii="Arial" w:cs="Arial" w:eastAsia="Arial" w:hAnsi="Arial"/>
                <w:sz w:val="18"/>
                <w:szCs w:val="18"/>
                <w:b w:val="1"/>
                <w:bCs w:val="1"/>
                <w:color w:val="auto"/>
                <w:w w:val="95"/>
              </w:rPr>
              <w:t>SHARES</w:t>
            </w:r>
          </w:p>
        </w:tc>
        <w:tc>
          <w:tcPr>
            <w:tcW w:w="5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60" w:type="dxa"/>
            <w:vAlign w:val="bottom"/>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460" w:type="dxa"/>
            <w:vAlign w:val="bottom"/>
          </w:tcPr>
          <w:p>
            <w:pPr>
              <w:ind w:left="40"/>
              <w:spacing w:after="0" w:line="275" w:lineRule="exact"/>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2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560" w:type="dxa"/>
            <w:vAlign w:val="bottom"/>
            <w:tcBorders>
              <w:left w:val="single" w:sz="8" w:color="auto"/>
            </w:tcBorders>
          </w:tcPr>
          <w:p>
            <w:pPr>
              <w:spacing w:after="0"/>
              <w:rPr>
                <w:sz w:val="5"/>
                <w:szCs w:val="5"/>
                <w:color w:val="auto"/>
              </w:rPr>
            </w:pPr>
          </w:p>
        </w:tc>
        <w:tc>
          <w:tcPr>
            <w:tcW w:w="1760" w:type="dxa"/>
            <w:vAlign w:val="bottom"/>
            <w:tcBorders>
              <w:right w:val="single" w:sz="8" w:color="auto"/>
            </w:tcBorders>
            <w:gridSpan w:val="2"/>
            <w:vMerge w:val="restart"/>
          </w:tcPr>
          <w:p>
            <w:pPr>
              <w:jc w:val="center"/>
              <w:ind w:right="470"/>
              <w:spacing w:after="0" w:line="157" w:lineRule="exact"/>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560" w:type="dxa"/>
            <w:vAlign w:val="bottom"/>
            <w:tcBorders>
              <w:left w:val="single" w:sz="8" w:color="auto"/>
            </w:tcBorders>
          </w:tcPr>
          <w:p>
            <w:pPr>
              <w:spacing w:after="0"/>
              <w:rPr>
                <w:sz w:val="6"/>
                <w:szCs w:val="6"/>
                <w:color w:val="auto"/>
              </w:rPr>
            </w:pPr>
          </w:p>
        </w:tc>
        <w:tc>
          <w:tcPr>
            <w:tcW w:w="1760" w:type="dxa"/>
            <w:vAlign w:val="bottom"/>
            <w:tcBorders>
              <w:right w:val="single" w:sz="8" w:color="auto"/>
            </w:tcBorders>
            <w:gridSpan w:val="2"/>
            <w:vMerge w:val="continue"/>
          </w:tcPr>
          <w:p>
            <w:pPr>
              <w:spacing w:after="0"/>
              <w:rPr>
                <w:sz w:val="6"/>
                <w:szCs w:val="6"/>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6"/>
                <w:szCs w:val="6"/>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56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EACH</w:t>
            </w:r>
          </w:p>
        </w:tc>
        <w:tc>
          <w:tcPr>
            <w:tcW w:w="56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56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b w:val="1"/>
                <w:bCs w:val="1"/>
                <w:color w:val="auto"/>
              </w:rPr>
              <w:t>REPORTING</w:t>
            </w:r>
          </w:p>
        </w:tc>
        <w:tc>
          <w:tcPr>
            <w:tcW w:w="5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3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5460" w:type="dxa"/>
            <w:vAlign w:val="bottom"/>
            <w:tcBorders>
              <w:bottom w:val="single" w:sz="8" w:color="auto"/>
            </w:tcBorders>
            <w:vMerge w:val="continue"/>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320" w:type="dxa"/>
            <w:vAlign w:val="bottom"/>
            <w:tcBorders>
              <w:left w:val="single" w:sz="8" w:color="auto"/>
              <w:right w:val="single" w:sz="8" w:color="auto"/>
            </w:tcBorders>
            <w:gridSpan w:val="3"/>
            <w:vMerge w:val="continue"/>
          </w:tcPr>
          <w:p>
            <w:pPr>
              <w:spacing w:after="0"/>
              <w:rPr>
                <w:sz w:val="5"/>
                <w:szCs w:val="5"/>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5"/>
                <w:szCs w:val="5"/>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60" w:type="dxa"/>
            <w:vAlign w:val="bottom"/>
            <w:vMerge w:val="continue"/>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9.</w:t>
            </w:r>
          </w:p>
        </w:tc>
        <w:tc>
          <w:tcPr>
            <w:tcW w:w="280" w:type="dxa"/>
            <w:vAlign w:val="bottom"/>
            <w:tcBorders>
              <w:right w:val="single" w:sz="8" w:color="auto"/>
            </w:tcBorders>
          </w:tcPr>
          <w:p>
            <w:pPr>
              <w:spacing w:after="0"/>
              <w:rPr>
                <w:sz w:val="20"/>
                <w:szCs w:val="20"/>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color w:val="auto"/>
                <w:w w:val="89"/>
              </w:rPr>
              <w:t>Aggregate Amount Beneficially</w:t>
            </w:r>
          </w:p>
        </w:tc>
        <w:tc>
          <w:tcPr>
            <w:tcW w:w="5460" w:type="dxa"/>
            <w:vAlign w:val="bottom"/>
          </w:tcPr>
          <w:p>
            <w:pPr>
              <w:ind w:left="120"/>
              <w:spacing w:after="0"/>
              <w:rPr>
                <w:sz w:val="20"/>
                <w:szCs w:val="20"/>
                <w:color w:val="auto"/>
              </w:rPr>
            </w:pPr>
            <w:r>
              <w:rPr>
                <w:rFonts w:ascii="Arial" w:cs="Arial" w:eastAsia="Arial" w:hAnsi="Arial"/>
                <w:sz w:val="18"/>
                <w:szCs w:val="18"/>
                <w:color w:val="auto"/>
              </w:rPr>
              <w:t>Owned by Each Reporting Person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0" w:type="dxa"/>
            <w:vAlign w:val="bottom"/>
            <w:tcBorders>
              <w:left w:val="single" w:sz="8" w:color="auto"/>
            </w:tcBorders>
          </w:tcPr>
          <w:p>
            <w:pPr>
              <w:jc w:val="center"/>
              <w:ind w:left="210"/>
              <w:spacing w:after="0" w:line="201" w:lineRule="exact"/>
              <w:rPr>
                <w:sz w:val="20"/>
                <w:szCs w:val="20"/>
                <w:color w:val="auto"/>
              </w:rPr>
            </w:pPr>
            <w:r>
              <w:rPr>
                <w:rFonts w:ascii="Arial" w:cs="Arial" w:eastAsia="Arial" w:hAnsi="Arial"/>
                <w:sz w:val="18"/>
                <w:szCs w:val="18"/>
                <w:b w:val="1"/>
                <w:bCs w:val="1"/>
                <w:color w:val="auto"/>
                <w:w w:val="87"/>
              </w:rPr>
              <w:t>10.</w:t>
            </w:r>
          </w:p>
        </w:tc>
        <w:tc>
          <w:tcPr>
            <w:tcW w:w="280" w:type="dxa"/>
            <w:vAlign w:val="bottom"/>
            <w:tcBorders>
              <w:right w:val="single" w:sz="8" w:color="auto"/>
            </w:tcBorders>
          </w:tcPr>
          <w:p>
            <w:pPr>
              <w:spacing w:after="0"/>
              <w:rPr>
                <w:sz w:val="17"/>
                <w:szCs w:val="17"/>
                <w:color w:val="auto"/>
              </w:rPr>
            </w:pPr>
          </w:p>
        </w:tc>
        <w:tc>
          <w:tcPr>
            <w:tcW w:w="7740" w:type="dxa"/>
            <w:vAlign w:val="bottom"/>
            <w:gridSpan w:val="4"/>
          </w:tcPr>
          <w:p>
            <w:pPr>
              <w:ind w:left="40"/>
              <w:spacing w:after="0" w:line="201" w:lineRule="exact"/>
              <w:rPr>
                <w:sz w:val="20"/>
                <w:szCs w:val="20"/>
                <w:color w:val="auto"/>
              </w:rPr>
            </w:pPr>
            <w:r>
              <w:rPr>
                <w:rFonts w:ascii="Arial" w:cs="Arial" w:eastAsia="Arial" w:hAnsi="Arial"/>
                <w:sz w:val="18"/>
                <w:szCs w:val="18"/>
                <w:color w:val="auto"/>
              </w:rPr>
              <w:t>Check if the Aggregate Amount in Row (9) Excludes Certain Shares</w:t>
            </w:r>
          </w:p>
        </w:tc>
        <w:tc>
          <w:tcPr>
            <w:tcW w:w="2840" w:type="dxa"/>
            <w:vAlign w:val="bottom"/>
            <w:tcBorders>
              <w:right w:val="single" w:sz="8" w:color="auto"/>
            </w:tcBorders>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See</w:t>
            </w:r>
            <w:r>
              <w:rPr>
                <w:rFonts w:ascii="Arial" w:cs="Arial" w:eastAsia="Arial" w:hAnsi="Arial"/>
                <w:sz w:val="18"/>
                <w:szCs w:val="18"/>
                <w:color w:val="auto"/>
                <w:w w:val="99"/>
              </w:rPr>
              <w:t xml:space="preserve"> Instructions)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740" w:type="dxa"/>
            <w:vAlign w:val="bottom"/>
            <w:tcBorders>
              <w:bottom w:val="single" w:sz="8" w:color="auto"/>
            </w:tcBorders>
            <w:gridSpan w:val="4"/>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7"/>
              </w:rPr>
              <w:t>11.</w:t>
            </w:r>
          </w:p>
        </w:tc>
        <w:tc>
          <w:tcPr>
            <w:tcW w:w="280" w:type="dxa"/>
            <w:vAlign w:val="bottom"/>
            <w:tcBorders>
              <w:right w:val="single" w:sz="8" w:color="auto"/>
            </w:tcBorders>
          </w:tcPr>
          <w:p>
            <w:pPr>
              <w:spacing w:after="0"/>
              <w:rPr>
                <w:sz w:val="20"/>
                <w:szCs w:val="20"/>
                <w:color w:val="auto"/>
              </w:rPr>
            </w:pPr>
          </w:p>
        </w:tc>
        <w:tc>
          <w:tcPr>
            <w:tcW w:w="774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8.2%</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7"/>
              </w:rPr>
              <w:t>12.</w:t>
            </w:r>
          </w:p>
        </w:tc>
        <w:tc>
          <w:tcPr>
            <w:tcW w:w="280" w:type="dxa"/>
            <w:vAlign w:val="bottom"/>
            <w:tcBorders>
              <w:right w:val="single" w:sz="8" w:color="auto"/>
            </w:tcBorders>
          </w:tcPr>
          <w:p>
            <w:pPr>
              <w:spacing w:after="0"/>
              <w:rPr>
                <w:sz w:val="20"/>
                <w:szCs w:val="20"/>
                <w:color w:val="auto"/>
              </w:rPr>
            </w:pPr>
          </w:p>
        </w:tc>
        <w:tc>
          <w:tcPr>
            <w:tcW w:w="774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40" w:hanging="232"/>
        <w:spacing w:after="0" w:line="273" w:lineRule="auto"/>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(a) 668,732 shares held by Pontifax (Israel) V, L.P., (b) 178,623 shares held by Pontifax (Cayman) V, L.P., (c) 259,816 shares held by Pontifax (China) V, L.P. and (d) 27,500 shares held by Late Stage L.P.. Pontifax 5 GP is the general partner of each of the Pontifax Entities. Pontifax Management is the general partner of Pontifax 5 GP.. Mr. Tomer Kariv and Mr. Ran Nussbaum are the directors of Pontifax Management. Late Stage L.P. is an affiliate of the Reporting Persons listed in this report who de facto control Late Stage L.P.. Each of Mr. Kariv and Mr. Nussbaum disclaim beneficial ownership of the shares held by the Pontifax Entities and Late Stage L.P., and the inclusion of such shares in this Schedule 13G, as amended, shall not be deemed to be an admission of beneficial ownership of the reported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560" w:type="dxa"/>
            <w:vAlign w:val="bottom"/>
            <w:tcBorders>
              <w:top w:val="single" w:sz="8" w:color="auto"/>
              <w:left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CUSIP No. 282559103</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right w:val="single" w:sz="8" w:color="auto"/>
            </w:tcBorders>
          </w:tcPr>
          <w:p>
            <w:pPr>
              <w:ind w:left="244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5 of 11 Pages</w:t>
            </w:r>
          </w:p>
        </w:tc>
        <w:tc>
          <w:tcPr>
            <w:tcW w:w="0" w:type="dxa"/>
            <w:vAlign w:val="bottom"/>
          </w:tcPr>
          <w:p>
            <w:pPr>
              <w:spacing w:after="0"/>
              <w:rPr>
                <w:sz w:val="1"/>
                <w:szCs w:val="1"/>
                <w:color w:val="auto"/>
              </w:rPr>
            </w:pPr>
          </w:p>
        </w:tc>
      </w:tr>
      <w:tr>
        <w:trPr>
          <w:trHeight w:val="223"/>
        </w:trPr>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1.</w:t>
            </w:r>
          </w:p>
        </w:tc>
        <w:tc>
          <w:tcPr>
            <w:tcW w:w="280" w:type="dxa"/>
            <w:vAlign w:val="bottom"/>
            <w:tcBorders>
              <w:right w:val="single" w:sz="8" w:color="auto"/>
            </w:tcBorders>
          </w:tcPr>
          <w:p>
            <w:pPr>
              <w:spacing w:after="0"/>
              <w:rPr>
                <w:sz w:val="20"/>
                <w:szCs w:val="20"/>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color w:val="auto"/>
                <w:w w:val="95"/>
              </w:rPr>
              <w:t>Names of Reporting Persons</w:t>
            </w: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Tomer Kariv</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center"/>
              <w:ind w:left="210"/>
              <w:spacing w:after="0" w:line="170" w:lineRule="exact"/>
              <w:rPr>
                <w:sz w:val="20"/>
                <w:szCs w:val="20"/>
                <w:color w:val="auto"/>
              </w:rPr>
            </w:pPr>
            <w:r>
              <w:rPr>
                <w:rFonts w:ascii="Arial" w:cs="Arial" w:eastAsia="Arial" w:hAnsi="Arial"/>
                <w:sz w:val="18"/>
                <w:szCs w:val="18"/>
                <w:b w:val="1"/>
                <w:bCs w:val="1"/>
                <w:color w:val="auto"/>
                <w:w w:val="92"/>
              </w:rPr>
              <w:t>2.</w:t>
            </w:r>
          </w:p>
        </w:tc>
        <w:tc>
          <w:tcPr>
            <w:tcW w:w="280" w:type="dxa"/>
            <w:vAlign w:val="bottom"/>
            <w:tcBorders>
              <w:right w:val="single" w:sz="8" w:color="auto"/>
            </w:tcBorders>
          </w:tcPr>
          <w:p>
            <w:pPr>
              <w:spacing w:after="0"/>
              <w:rPr>
                <w:sz w:val="14"/>
                <w:szCs w:val="14"/>
                <w:color w:val="auto"/>
              </w:rPr>
            </w:pPr>
          </w:p>
        </w:tc>
        <w:tc>
          <w:tcPr>
            <w:tcW w:w="7740" w:type="dxa"/>
            <w:vAlign w:val="bottom"/>
            <w:gridSpan w:val="4"/>
          </w:tcPr>
          <w:p>
            <w:pPr>
              <w:ind w:left="4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840" w:type="dxa"/>
            <w:vAlign w:val="bottom"/>
            <w:tcBorders>
              <w:right w:val="single" w:sz="8" w:color="auto"/>
            </w:tcBorders>
          </w:tcPr>
          <w:p>
            <w:pPr>
              <w:ind w:left="1720"/>
              <w:spacing w:after="0" w:line="170"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See</w:t>
            </w:r>
            <w:r>
              <w:rPr>
                <w:rFonts w:ascii="Arial" w:cs="Arial" w:eastAsia="Arial" w:hAnsi="Arial"/>
                <w:sz w:val="18"/>
                <w:szCs w:val="18"/>
                <w:color w:val="auto"/>
                <w:w w:val="99"/>
              </w:rPr>
              <w:t xml:space="preserve"> Instructions)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40" w:type="dxa"/>
            <w:vAlign w:val="bottom"/>
            <w:tcBorders>
              <w:right w:val="single" w:sz="8" w:color="auto"/>
            </w:tcBorders>
          </w:tcPr>
          <w:p>
            <w:pPr>
              <w:ind w:left="1720"/>
              <w:spacing w:after="0" w:line="207" w:lineRule="exact"/>
              <w:rPr>
                <w:sz w:val="20"/>
                <w:szCs w:val="20"/>
                <w:color w:val="auto"/>
              </w:rPr>
            </w:pPr>
            <w:r>
              <w:rPr>
                <w:rFonts w:ascii="Arial" w:cs="Arial" w:eastAsia="Arial" w:hAnsi="Arial"/>
                <w:sz w:val="18"/>
                <w:szCs w:val="18"/>
                <w:color w:val="auto"/>
              </w:rPr>
              <w:t xml:space="preserve">(f)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3.</w:t>
            </w:r>
          </w:p>
        </w:tc>
        <w:tc>
          <w:tcPr>
            <w:tcW w:w="280" w:type="dxa"/>
            <w:vAlign w:val="bottom"/>
            <w:tcBorders>
              <w:right w:val="single" w:sz="8" w:color="auto"/>
            </w:tcBorders>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4.</w:t>
            </w:r>
          </w:p>
        </w:tc>
        <w:tc>
          <w:tcPr>
            <w:tcW w:w="280" w:type="dxa"/>
            <w:vAlign w:val="bottom"/>
            <w:tcBorders>
              <w:right w:val="single" w:sz="8" w:color="auto"/>
            </w:tcBorders>
          </w:tcPr>
          <w:p>
            <w:pPr>
              <w:spacing w:after="0"/>
              <w:rPr>
                <w:sz w:val="20"/>
                <w:szCs w:val="20"/>
                <w:color w:val="auto"/>
              </w:rPr>
            </w:pPr>
          </w:p>
        </w:tc>
        <w:tc>
          <w:tcPr>
            <w:tcW w:w="774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Israel</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20"/>
                <w:szCs w:val="20"/>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tcBorders>
          </w:tcPr>
          <w:p>
            <w:pPr>
              <w:spacing w:after="0"/>
              <w:rPr>
                <w:sz w:val="24"/>
                <w:szCs w:val="24"/>
                <w:color w:val="auto"/>
              </w:rPr>
            </w:pPr>
          </w:p>
        </w:tc>
        <w:tc>
          <w:tcPr>
            <w:tcW w:w="176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0</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tcBorders>
          </w:tcPr>
          <w:p>
            <w:pPr>
              <w:spacing w:after="0"/>
              <w:rPr>
                <w:sz w:val="14"/>
                <w:szCs w:val="14"/>
                <w:color w:val="auto"/>
              </w:rPr>
            </w:pPr>
          </w:p>
        </w:tc>
        <w:tc>
          <w:tcPr>
            <w:tcW w:w="1760" w:type="dxa"/>
            <w:vAlign w:val="bottom"/>
            <w:tcBorders>
              <w:right w:val="single" w:sz="8" w:color="auto"/>
            </w:tcBorders>
            <w:gridSpan w:val="2"/>
            <w:vMerge w:val="continue"/>
          </w:tcPr>
          <w:p>
            <w:pPr>
              <w:spacing w:after="0"/>
              <w:rPr>
                <w:sz w:val="14"/>
                <w:szCs w:val="14"/>
                <w:color w:val="auto"/>
              </w:rPr>
            </w:pPr>
          </w:p>
        </w:tc>
        <w:tc>
          <w:tcPr>
            <w:tcW w:w="560" w:type="dxa"/>
            <w:vAlign w:val="bottom"/>
          </w:tcPr>
          <w:p>
            <w:pPr>
              <w:jc w:val="right"/>
              <w:ind w:right="30"/>
              <w:spacing w:after="0" w:line="162"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4"/>
                <w:szCs w:val="14"/>
                <w:color w:val="auto"/>
              </w:rPr>
            </w:pPr>
          </w:p>
        </w:tc>
        <w:tc>
          <w:tcPr>
            <w:tcW w:w="5460" w:type="dxa"/>
            <w:vAlign w:val="bottom"/>
          </w:tcPr>
          <w:p>
            <w:pPr>
              <w:ind w:left="40"/>
              <w:spacing w:after="0" w:line="162" w:lineRule="exact"/>
              <w:rPr>
                <w:sz w:val="20"/>
                <w:szCs w:val="20"/>
                <w:color w:val="auto"/>
              </w:rPr>
            </w:pPr>
            <w:r>
              <w:rPr>
                <w:rFonts w:ascii="Arial" w:cs="Arial" w:eastAsia="Arial" w:hAnsi="Arial"/>
                <w:sz w:val="18"/>
                <w:szCs w:val="18"/>
                <w:color w:val="auto"/>
              </w:rPr>
              <w:t>Shared Voting Power</w:t>
            </w: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60" w:type="dxa"/>
            <w:vAlign w:val="bottom"/>
            <w:tcBorders>
              <w:left w:val="single" w:sz="8" w:color="auto"/>
            </w:tcBorders>
          </w:tcPr>
          <w:p>
            <w:pPr>
              <w:spacing w:after="0"/>
              <w:rPr>
                <w:sz w:val="17"/>
                <w:szCs w:val="17"/>
                <w:color w:val="auto"/>
              </w:rPr>
            </w:pPr>
          </w:p>
        </w:tc>
        <w:tc>
          <w:tcPr>
            <w:tcW w:w="1760" w:type="dxa"/>
            <w:vAlign w:val="bottom"/>
            <w:tcBorders>
              <w:right w:val="single" w:sz="8" w:color="auto"/>
            </w:tcBorders>
            <w:gridSpan w:val="2"/>
          </w:tcPr>
          <w:p>
            <w:pPr>
              <w:jc w:val="center"/>
              <w:ind w:right="470"/>
              <w:spacing w:after="0" w:line="198" w:lineRule="exact"/>
              <w:rPr>
                <w:sz w:val="20"/>
                <w:szCs w:val="20"/>
                <w:color w:val="auto"/>
              </w:rPr>
            </w:pPr>
            <w:r>
              <w:rPr>
                <w:rFonts w:ascii="Arial" w:cs="Arial" w:eastAsia="Arial" w:hAnsi="Arial"/>
                <w:sz w:val="18"/>
                <w:szCs w:val="18"/>
                <w:b w:val="1"/>
                <w:bCs w:val="1"/>
                <w:color w:val="auto"/>
                <w:w w:val="95"/>
              </w:rPr>
              <w:t>SHARES</w:t>
            </w:r>
          </w:p>
        </w:tc>
        <w:tc>
          <w:tcPr>
            <w:tcW w:w="5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60" w:type="dxa"/>
            <w:vAlign w:val="bottom"/>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460" w:type="dxa"/>
            <w:vAlign w:val="bottom"/>
          </w:tcPr>
          <w:p>
            <w:pPr>
              <w:ind w:left="40"/>
              <w:spacing w:after="0" w:line="275" w:lineRule="exact"/>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2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560" w:type="dxa"/>
            <w:vAlign w:val="bottom"/>
            <w:tcBorders>
              <w:left w:val="single" w:sz="8" w:color="auto"/>
            </w:tcBorders>
          </w:tcPr>
          <w:p>
            <w:pPr>
              <w:spacing w:after="0"/>
              <w:rPr>
                <w:sz w:val="5"/>
                <w:szCs w:val="5"/>
                <w:color w:val="auto"/>
              </w:rPr>
            </w:pPr>
          </w:p>
        </w:tc>
        <w:tc>
          <w:tcPr>
            <w:tcW w:w="1760" w:type="dxa"/>
            <w:vAlign w:val="bottom"/>
            <w:tcBorders>
              <w:right w:val="single" w:sz="8" w:color="auto"/>
            </w:tcBorders>
            <w:gridSpan w:val="2"/>
            <w:vMerge w:val="restart"/>
          </w:tcPr>
          <w:p>
            <w:pPr>
              <w:jc w:val="center"/>
              <w:ind w:right="470"/>
              <w:spacing w:after="0" w:line="157" w:lineRule="exact"/>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560" w:type="dxa"/>
            <w:vAlign w:val="bottom"/>
            <w:tcBorders>
              <w:left w:val="single" w:sz="8" w:color="auto"/>
            </w:tcBorders>
          </w:tcPr>
          <w:p>
            <w:pPr>
              <w:spacing w:after="0"/>
              <w:rPr>
                <w:sz w:val="6"/>
                <w:szCs w:val="6"/>
                <w:color w:val="auto"/>
              </w:rPr>
            </w:pPr>
          </w:p>
        </w:tc>
        <w:tc>
          <w:tcPr>
            <w:tcW w:w="1760" w:type="dxa"/>
            <w:vAlign w:val="bottom"/>
            <w:tcBorders>
              <w:right w:val="single" w:sz="8" w:color="auto"/>
            </w:tcBorders>
            <w:gridSpan w:val="2"/>
            <w:vMerge w:val="continue"/>
          </w:tcPr>
          <w:p>
            <w:pPr>
              <w:spacing w:after="0"/>
              <w:rPr>
                <w:sz w:val="6"/>
                <w:szCs w:val="6"/>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6"/>
                <w:szCs w:val="6"/>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56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EACH</w:t>
            </w:r>
          </w:p>
        </w:tc>
        <w:tc>
          <w:tcPr>
            <w:tcW w:w="56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56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b w:val="1"/>
                <w:bCs w:val="1"/>
                <w:color w:val="auto"/>
              </w:rPr>
              <w:t>REPORTING</w:t>
            </w:r>
          </w:p>
        </w:tc>
        <w:tc>
          <w:tcPr>
            <w:tcW w:w="5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3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5460" w:type="dxa"/>
            <w:vAlign w:val="bottom"/>
            <w:tcBorders>
              <w:bottom w:val="single" w:sz="8" w:color="auto"/>
            </w:tcBorders>
            <w:vMerge w:val="continue"/>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320" w:type="dxa"/>
            <w:vAlign w:val="bottom"/>
            <w:tcBorders>
              <w:left w:val="single" w:sz="8" w:color="auto"/>
              <w:right w:val="single" w:sz="8" w:color="auto"/>
            </w:tcBorders>
            <w:gridSpan w:val="3"/>
            <w:vMerge w:val="continue"/>
          </w:tcPr>
          <w:p>
            <w:pPr>
              <w:spacing w:after="0"/>
              <w:rPr>
                <w:sz w:val="5"/>
                <w:szCs w:val="5"/>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5"/>
                <w:szCs w:val="5"/>
                <w:color w:val="auto"/>
              </w:rPr>
            </w:pPr>
          </w:p>
        </w:tc>
        <w:tc>
          <w:tcPr>
            <w:tcW w:w="54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5460" w:type="dxa"/>
            <w:vAlign w:val="bottom"/>
            <w:vMerge w:val="continue"/>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9.</w:t>
            </w:r>
          </w:p>
        </w:tc>
        <w:tc>
          <w:tcPr>
            <w:tcW w:w="280" w:type="dxa"/>
            <w:vAlign w:val="bottom"/>
            <w:tcBorders>
              <w:right w:val="single" w:sz="8" w:color="auto"/>
            </w:tcBorders>
          </w:tcPr>
          <w:p>
            <w:pPr>
              <w:spacing w:after="0"/>
              <w:rPr>
                <w:sz w:val="20"/>
                <w:szCs w:val="20"/>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color w:val="auto"/>
                <w:w w:val="89"/>
              </w:rPr>
              <w:t>Aggregate Amount Beneficially</w:t>
            </w:r>
          </w:p>
        </w:tc>
        <w:tc>
          <w:tcPr>
            <w:tcW w:w="5460" w:type="dxa"/>
            <w:vAlign w:val="bottom"/>
          </w:tcPr>
          <w:p>
            <w:pPr>
              <w:ind w:left="120"/>
              <w:spacing w:after="0"/>
              <w:rPr>
                <w:sz w:val="20"/>
                <w:szCs w:val="20"/>
                <w:color w:val="auto"/>
              </w:rPr>
            </w:pPr>
            <w:r>
              <w:rPr>
                <w:rFonts w:ascii="Arial" w:cs="Arial" w:eastAsia="Arial" w:hAnsi="Arial"/>
                <w:sz w:val="18"/>
                <w:szCs w:val="18"/>
                <w:color w:val="auto"/>
              </w:rPr>
              <w:t>Owned by Each Reporting Person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1,134,671</w:t>
            </w:r>
            <w:r>
              <w:rPr>
                <w:rFonts w:ascii="Arial" w:cs="Arial" w:eastAsia="Arial" w:hAnsi="Arial"/>
                <w:sz w:val="30"/>
                <w:szCs w:val="30"/>
                <w:b w:val="1"/>
                <w:bCs w:val="1"/>
                <w:color w:val="auto"/>
                <w:vertAlign w:val="superscript"/>
              </w:rPr>
              <w:t>1</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0" w:type="dxa"/>
            <w:vAlign w:val="bottom"/>
            <w:tcBorders>
              <w:left w:val="single" w:sz="8" w:color="auto"/>
            </w:tcBorders>
          </w:tcPr>
          <w:p>
            <w:pPr>
              <w:jc w:val="center"/>
              <w:ind w:left="210"/>
              <w:spacing w:after="0" w:line="201" w:lineRule="exact"/>
              <w:rPr>
                <w:sz w:val="20"/>
                <w:szCs w:val="20"/>
                <w:color w:val="auto"/>
              </w:rPr>
            </w:pPr>
            <w:r>
              <w:rPr>
                <w:rFonts w:ascii="Arial" w:cs="Arial" w:eastAsia="Arial" w:hAnsi="Arial"/>
                <w:sz w:val="18"/>
                <w:szCs w:val="18"/>
                <w:b w:val="1"/>
                <w:bCs w:val="1"/>
                <w:color w:val="auto"/>
                <w:w w:val="87"/>
              </w:rPr>
              <w:t>10.</w:t>
            </w:r>
          </w:p>
        </w:tc>
        <w:tc>
          <w:tcPr>
            <w:tcW w:w="280" w:type="dxa"/>
            <w:vAlign w:val="bottom"/>
            <w:tcBorders>
              <w:right w:val="single" w:sz="8" w:color="auto"/>
            </w:tcBorders>
          </w:tcPr>
          <w:p>
            <w:pPr>
              <w:spacing w:after="0"/>
              <w:rPr>
                <w:sz w:val="17"/>
                <w:szCs w:val="17"/>
                <w:color w:val="auto"/>
              </w:rPr>
            </w:pPr>
          </w:p>
        </w:tc>
        <w:tc>
          <w:tcPr>
            <w:tcW w:w="7740" w:type="dxa"/>
            <w:vAlign w:val="bottom"/>
            <w:gridSpan w:val="4"/>
          </w:tcPr>
          <w:p>
            <w:pPr>
              <w:ind w:left="40"/>
              <w:spacing w:after="0" w:line="201" w:lineRule="exact"/>
              <w:rPr>
                <w:sz w:val="20"/>
                <w:szCs w:val="20"/>
                <w:color w:val="auto"/>
              </w:rPr>
            </w:pPr>
            <w:r>
              <w:rPr>
                <w:rFonts w:ascii="Arial" w:cs="Arial" w:eastAsia="Arial" w:hAnsi="Arial"/>
                <w:sz w:val="18"/>
                <w:szCs w:val="18"/>
                <w:color w:val="auto"/>
              </w:rPr>
              <w:t>Check if the Aggregate Amount in Row (9) Excludes Certain Shares</w:t>
            </w:r>
          </w:p>
        </w:tc>
        <w:tc>
          <w:tcPr>
            <w:tcW w:w="2840" w:type="dxa"/>
            <w:vAlign w:val="bottom"/>
            <w:tcBorders>
              <w:right w:val="single" w:sz="8" w:color="auto"/>
            </w:tcBorders>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See</w:t>
            </w:r>
            <w:r>
              <w:rPr>
                <w:rFonts w:ascii="Arial" w:cs="Arial" w:eastAsia="Arial" w:hAnsi="Arial"/>
                <w:sz w:val="18"/>
                <w:szCs w:val="18"/>
                <w:color w:val="auto"/>
                <w:w w:val="99"/>
              </w:rPr>
              <w:t xml:space="preserve"> Instructions)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 w:type="dxa"/>
            <w:vAlign w:val="bottom"/>
            <w:tcBorders>
              <w:left w:val="single" w:sz="8" w:color="auto"/>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740" w:type="dxa"/>
            <w:vAlign w:val="bottom"/>
            <w:tcBorders>
              <w:bottom w:val="single" w:sz="8" w:color="auto"/>
            </w:tcBorders>
            <w:gridSpan w:val="4"/>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7"/>
              </w:rPr>
              <w:t>11.</w:t>
            </w:r>
          </w:p>
        </w:tc>
        <w:tc>
          <w:tcPr>
            <w:tcW w:w="280" w:type="dxa"/>
            <w:vAlign w:val="bottom"/>
            <w:tcBorders>
              <w:right w:val="single" w:sz="8" w:color="auto"/>
            </w:tcBorders>
          </w:tcPr>
          <w:p>
            <w:pPr>
              <w:spacing w:after="0"/>
              <w:rPr>
                <w:sz w:val="20"/>
                <w:szCs w:val="20"/>
                <w:color w:val="auto"/>
              </w:rPr>
            </w:pPr>
          </w:p>
        </w:tc>
        <w:tc>
          <w:tcPr>
            <w:tcW w:w="774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8.2%</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7"/>
              </w:rPr>
              <w:t>12.</w:t>
            </w:r>
          </w:p>
        </w:tc>
        <w:tc>
          <w:tcPr>
            <w:tcW w:w="280" w:type="dxa"/>
            <w:vAlign w:val="bottom"/>
            <w:tcBorders>
              <w:right w:val="single" w:sz="8" w:color="auto"/>
            </w:tcBorders>
          </w:tcPr>
          <w:p>
            <w:pPr>
              <w:spacing w:after="0"/>
              <w:rPr>
                <w:sz w:val="20"/>
                <w:szCs w:val="20"/>
                <w:color w:val="auto"/>
              </w:rPr>
            </w:pPr>
          </w:p>
        </w:tc>
        <w:tc>
          <w:tcPr>
            <w:tcW w:w="774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40" w:hanging="232"/>
        <w:spacing w:after="0" w:line="273" w:lineRule="auto"/>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(a) 668,732 shares held by Pontifax (Israel) V, L.P., (b) 178,623 shares held by Pontifax (Cayman) V, L.P., (c) 259,816 shares held by Pontifax (China) V, L.P. and (d) 27,500 shares held by Late Stage L.P.. Pontifax 5 GP is the general partner of each of the Pontifax Entities. Pontifax Management is the general partner of Pontifax 5 GP.. Mr. Tomer Kariv and Mr. Ran Nussbaum are the directors of Pontifax Management. Late Stage L.P. is an affiliate of the Reporting Persons listed in this report who de facto control Late Stage L.P.. Each of Mr. Kariv and Mr. Nussbaum disclaim beneficial ownership of the shares held by the Pontifax Entities and Late Stage L.P., and the inclusion of such shares in this Schedule 13G, as amended, shall not be deemed to be an admission of beneficial ownership of the reported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CUSIP No. 282559103</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6 of 11 Pages</w:t>
            </w: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Introductory Note: </w:t>
      </w:r>
      <w:r>
        <w:rPr>
          <w:rFonts w:ascii="Arial" w:cs="Arial" w:eastAsia="Arial" w:hAnsi="Arial"/>
          <w:sz w:val="18"/>
          <w:szCs w:val="18"/>
          <w:color w:val="auto"/>
        </w:rPr>
        <w:t>This Schedule 13G is filed on behalf of Pontifax 5 G.P. L.P., a limited partnership organized under the laws of the State of Israel,</w:t>
      </w:r>
      <w:r>
        <w:rPr>
          <w:rFonts w:ascii="Arial" w:cs="Arial" w:eastAsia="Arial" w:hAnsi="Arial"/>
          <w:sz w:val="18"/>
          <w:szCs w:val="18"/>
          <w:b w:val="1"/>
          <w:bCs w:val="1"/>
          <w:color w:val="auto"/>
        </w:rPr>
        <w:t xml:space="preserve"> </w:t>
      </w:r>
      <w:r>
        <w:rPr>
          <w:rFonts w:ascii="Arial" w:cs="Arial" w:eastAsia="Arial" w:hAnsi="Arial"/>
          <w:sz w:val="18"/>
          <w:szCs w:val="18"/>
          <w:color w:val="auto"/>
        </w:rPr>
        <w:t>Pontifax Management 4 G.P. (2015) Ltd., an Israeli company, Ran Nussbaum and Tomer Kariv (the “Reporting Persons”), in respect of shares of common stock of 89bio Inc.</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89bio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535 Mission Street, 14th Floor, San Francisco, CA 94105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Statement is filed on behalf of Pontifax 5 G.P. L.P., Pontifax Management 4 G.P. (2015) Ltd., Ran Nussbaum and Tomer Kariv.</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Offices or, if None, Residence: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addresses of the Reporting Persons are: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Pontifax 5 G.P. L.P. - 14 Shenkar St. Herzliya, 46140, Israel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Pontifax Management 4 G.P. (2015) Ltd. - 14 Shenkar St. Herzliya, 46140, Israel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Ran Nussbaum - 14 Shenkar St. Herzliya, 46140, Israel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Tomer Kariv - 14 Shenkar St. Herzliya, 46140, Israel</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Pontifax 5 G.P. L.P. is organized in the State of Israel, Pontifax Management 4 G.P. (2015) Ltd. is incorporated in the State of Israel, Ran Nussbaum and Tomer Kariv are citizens of the State of Israel.</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Shares of Common Stock</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282559103</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the Statement is being filed pursuant to Rule 13d-1(b) or 13d-2(b) or (c), check whether the filing person is a: </w:t>
      </w:r>
      <w:r>
        <w:rPr>
          <w:rFonts w:ascii="Arial" w:cs="Arial" w:eastAsia="Arial" w:hAnsi="Arial"/>
          <w:sz w:val="16"/>
          <w:szCs w:val="16"/>
          <w:color w:val="auto"/>
        </w:rPr>
        <w:t>Not applicable.</w:t>
      </w:r>
    </w:p>
    <w:p>
      <w:pPr>
        <w:spacing w:after="0" w:line="197" w:lineRule="exact"/>
        <w:rPr>
          <w:sz w:val="20"/>
          <w:szCs w:val="20"/>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CUSIP No. 282559103</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7 of 11 Pages</w:t>
            </w:r>
          </w:p>
        </w:tc>
      </w:tr>
    </w:tbl>
    <w:p>
      <w:pPr>
        <w:spacing w:after="0" w:line="169" w:lineRule="exact"/>
        <w:rPr>
          <w:sz w:val="20"/>
          <w:szCs w:val="20"/>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860" w:hanging="528"/>
        <w:spacing w:after="0" w:line="239" w:lineRule="exact"/>
        <w:tabs>
          <w:tab w:leader="none" w:pos="657"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170"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5264785</wp:posOffset>
            </wp:positionH>
            <wp:positionV relativeFrom="paragraph">
              <wp:posOffset>-10160</wp:posOffset>
            </wp:positionV>
            <wp:extent cx="1657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1,134,671</w:t>
      </w:r>
      <w:r>
        <w:rPr>
          <w:rFonts w:ascii="Arial" w:cs="Arial" w:eastAsia="Arial" w:hAnsi="Arial"/>
          <w:sz w:val="30"/>
          <w:szCs w:val="30"/>
          <w:color w:val="auto"/>
          <w:vertAlign w:val="superscript"/>
        </w:rPr>
        <w:t>1</w:t>
      </w:r>
    </w:p>
    <w:p>
      <w:pPr>
        <w:spacing w:after="0" w:line="12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8.2%</w:t>
      </w:r>
      <w:r>
        <w:rPr>
          <w:rFonts w:ascii="Arial" w:cs="Arial" w:eastAsia="Arial" w:hAnsi="Arial"/>
          <w:sz w:val="30"/>
          <w:szCs w:val="30"/>
          <w:color w:val="auto"/>
          <w:vertAlign w:val="superscript"/>
        </w:rPr>
        <w:t>1</w:t>
      </w:r>
    </w:p>
    <w:p>
      <w:pPr>
        <w:spacing w:after="0" w:line="12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0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36"/>
          <w:szCs w:val="36"/>
          <w:color w:val="auto"/>
          <w:vertAlign w:val="superscript"/>
        </w:rPr>
      </w:pPr>
      <w:r>
        <w:rPr>
          <w:rFonts w:ascii="Arial" w:cs="Arial" w:eastAsia="Arial" w:hAnsi="Arial"/>
          <w:sz w:val="18"/>
          <w:szCs w:val="18"/>
          <w:color w:val="auto"/>
        </w:rPr>
        <w:t>Shared power to vote or direct the vote: 1,134,671</w:t>
      </w:r>
      <w:r>
        <w:rPr>
          <w:rFonts w:ascii="Arial" w:cs="Arial" w:eastAsia="Arial" w:hAnsi="Arial"/>
          <w:sz w:val="30"/>
          <w:szCs w:val="30"/>
          <w:color w:val="auto"/>
          <w:vertAlign w:val="superscript"/>
        </w:rPr>
        <w:t>1</w:t>
      </w:r>
    </w:p>
    <w:p>
      <w:pPr>
        <w:spacing w:after="0" w:line="78" w:lineRule="exact"/>
        <w:rPr>
          <w:rFonts w:ascii="Arial" w:cs="Arial" w:eastAsia="Arial" w:hAnsi="Arial"/>
          <w:sz w:val="36"/>
          <w:szCs w:val="36"/>
          <w:color w:val="auto"/>
          <w:vertAlign w:val="superscript"/>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0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36"/>
          <w:szCs w:val="36"/>
          <w:color w:val="auto"/>
          <w:vertAlign w:val="superscript"/>
        </w:rPr>
      </w:pPr>
      <w:r>
        <w:rPr>
          <w:rFonts w:ascii="Arial" w:cs="Arial" w:eastAsia="Arial" w:hAnsi="Arial"/>
          <w:sz w:val="18"/>
          <w:szCs w:val="18"/>
          <w:color w:val="auto"/>
        </w:rPr>
        <w:t>Shared power to dispose or to direct the disposition of: 1,134,671</w:t>
      </w:r>
      <w:r>
        <w:rPr>
          <w:rFonts w:ascii="Arial" w:cs="Arial" w:eastAsia="Arial" w:hAnsi="Arial"/>
          <w:sz w:val="30"/>
          <w:szCs w:val="30"/>
          <w:color w:val="auto"/>
          <w:vertAlign w:val="superscript"/>
        </w:rPr>
        <w:t>1</w:t>
      </w:r>
    </w:p>
    <w:p>
      <w:pPr>
        <w:spacing w:after="0" w:line="78" w:lineRule="exact"/>
        <w:rPr>
          <w:rFonts w:ascii="Arial" w:cs="Arial" w:eastAsia="Arial" w:hAnsi="Arial"/>
          <w:sz w:val="36"/>
          <w:szCs w:val="36"/>
          <w:color w:val="auto"/>
          <w:vertAlign w:val="superscript"/>
        </w:rPr>
      </w:pPr>
    </w:p>
    <w:p>
      <w:pPr>
        <w:jc w:val="both"/>
        <w:ind w:left="660" w:hanging="652"/>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Consists of (a) 668,732 shares held by Pontifax (Israel) V, L.P., (b) 178,623 shares held by Pontifax (Cayman) V, L.P., (c) 259,816 shares held by Pontifax (China) V, L.P. and (d) 27,500 shares held by Late Stage L.P.. Pontifax 5 GP is the general partner of each of the Pontifax Entities. Pontifax Management is the general partner of Pontifax 5 GP.. Mr. Tomer Kariv and Mr. Ran Nussbaum are the directors of Pontifax Management. Late Stage L.P. is an affiliate of the Reporting Persons listed in this report who de facto control Late Stage L.P.. Each of Mr. Kariv and Mr. Nussbaum disclaim beneficial ownership of the shares held by the Pontifax Entities and Late Stage L.P., and the inclusion of such shares in this Schedule 13G, as amended, shall not be deemed to be an admission of beneficial ownership of the reported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CUSIP No. 282559103</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8 of 11 Pages</w:t>
            </w: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300" w:right="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had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r>
        <w:rPr>
          <w:rFonts w:ascii="Arial" w:cs="Arial" w:eastAsia="Arial" w:hAnsi="Arial"/>
          <w:sz w:val="18"/>
          <w:szCs w:val="18"/>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CUSIP No. 282559103</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9 of 11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PONTIFAX 5 G.P.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Pontifax Management 4 G.P. (2015) Ltd.</w:t>
            </w:r>
          </w:p>
        </w:tc>
      </w:tr>
      <w:tr>
        <w:trPr>
          <w:trHeight w:val="229"/>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000" w:type="dxa"/>
            <w:vAlign w:val="bottom"/>
            <w:gridSpan w:val="2"/>
          </w:tcPr>
          <w:p>
            <w:pPr>
              <w:spacing w:after="0"/>
              <w:rPr>
                <w:sz w:val="20"/>
                <w:szCs w:val="20"/>
                <w:color w:val="auto"/>
              </w:rPr>
            </w:pPr>
            <w:r>
              <w:rPr>
                <w:rFonts w:ascii="Arial" w:cs="Arial" w:eastAsia="Arial" w:hAnsi="Arial"/>
                <w:sz w:val="18"/>
                <w:szCs w:val="18"/>
                <w:color w:val="auto"/>
              </w:rPr>
              <w:t>Pontifax Management 4 G.P. (2015) Ltd.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Ran Nussbaum</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Ran Nussbaum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92"/>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PONTIFAX MANAGEMENT 4 G.P. (2015) LTD.</w:t>
            </w:r>
          </w:p>
        </w:tc>
        <w:tc>
          <w:tcPr>
            <w:tcW w:w="920" w:type="dxa"/>
            <w:vAlign w:val="bottom"/>
          </w:tcPr>
          <w:p>
            <w:pPr>
              <w:spacing w:after="0"/>
              <w:rPr>
                <w:sz w:val="24"/>
                <w:szCs w:val="24"/>
                <w:color w:val="auto"/>
              </w:rPr>
            </w:pPr>
          </w:p>
        </w:tc>
      </w:tr>
      <w:tr>
        <w:trPr>
          <w:trHeight w:val="46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Ran Nussbaum</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Ran Nussbaum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Ran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RAN NUSSBAUM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Tomer Kariv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TOMER KARIV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Attention. </w:t>
      </w:r>
      <w:r>
        <w:rPr>
          <w:rFonts w:ascii="Arial" w:cs="Arial" w:eastAsia="Arial" w:hAnsi="Arial"/>
          <w:sz w:val="18"/>
          <w:szCs w:val="18"/>
          <w:color w:val="auto"/>
        </w:rPr>
        <w:t>Intentional misstatements or omissions of fact constitute Federal criminal violations (s</w:t>
      </w:r>
      <w:r>
        <w:rPr>
          <w:rFonts w:ascii="Arial" w:cs="Arial" w:eastAsia="Arial" w:hAnsi="Arial"/>
          <w:sz w:val="18"/>
          <w:szCs w:val="18"/>
          <w:i w:val="1"/>
          <w:iCs w:val="1"/>
          <w:color w:val="auto"/>
        </w:rPr>
        <w:t xml:space="preserve">ee </w:t>
      </w:r>
      <w:r>
        <w:rPr>
          <w:rFonts w:ascii="Arial" w:cs="Arial" w:eastAsia="Arial" w:hAnsi="Arial"/>
          <w:sz w:val="18"/>
          <w:szCs w:val="18"/>
          <w:color w:val="auto"/>
        </w:rPr>
        <w:t>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CUSIP No. 282559103</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Page 10 of 11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340" w:hanging="332"/>
        <w:spacing w:after="0" w:line="277" w:lineRule="auto"/>
        <w:tabs>
          <w:tab w:leader="none" w:pos="340" w:val="left"/>
        </w:tabs>
        <w:numPr>
          <w:ilvl w:val="0"/>
          <w:numId w:val="12"/>
        </w:numPr>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Joint Filing Agreement, dated as of February 14, 2020, by and among Pontifax 5 G.P. L.P., Pontifax Management 4 G.P. (2015) Ltd., Ran Nussbaum and</w:t>
        </w:r>
      </w:hyperlink>
      <w:r>
        <w:rPr>
          <w:rFonts w:ascii="Arial" w:cs="Arial" w:eastAsia="Arial" w:hAnsi="Arial"/>
          <w:sz w:val="18"/>
          <w:szCs w:val="18"/>
          <w:u w:val="single" w:color="auto"/>
          <w:color w:val="0000EE"/>
        </w:rPr>
        <w:t xml:space="preserve"> </w:t>
      </w:r>
      <w:hyperlink w:anchor="page11">
        <w:r>
          <w:rPr>
            <w:rFonts w:ascii="Arial" w:cs="Arial" w:eastAsia="Arial" w:hAnsi="Arial"/>
            <w:sz w:val="18"/>
            <w:szCs w:val="18"/>
            <w:u w:val="single" w:color="auto"/>
            <w:color w:val="0000EE"/>
          </w:rPr>
          <w:t>Tomer Kariv.</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CUSIP No. 282559103</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Page 11 of 11 Pages</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undersigned hereby agree that the Schedule 13G with respect to the shares of 89bio Inc., dated as of February 14, 2020,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PONTIFAX 5 G.P.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Pontifax Management 4 G.P. (2015) Ltd.</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Pontifax Management 4 G.P. (2015) Ltd.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Ran Nussbaum</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Ran Nussbaum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92"/>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PONTIFAX MANAGEMENT 4 G.P. (2015) LTD.</w:t>
            </w:r>
          </w:p>
        </w:tc>
        <w:tc>
          <w:tcPr>
            <w:tcW w:w="920" w:type="dxa"/>
            <w:vAlign w:val="bottom"/>
          </w:tcPr>
          <w:p>
            <w:pPr>
              <w:spacing w:after="0"/>
              <w:rPr>
                <w:sz w:val="24"/>
                <w:szCs w:val="24"/>
                <w:color w:val="auto"/>
              </w:rPr>
            </w:pPr>
          </w:p>
        </w:tc>
      </w:tr>
      <w:tr>
        <w:trPr>
          <w:trHeight w:val="46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Ran Nussbaum</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Ran Nussbaum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Ran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RAN NUSSBAUM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Tomer Kariv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TOMER KARIV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6"/>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Roman"/>
      <w:start w:val="1"/>
    </w:lvl>
  </w:abstractNum>
  <w:abstractNum w:abstractNumId="10">
    <w:nsid w:val="1190CDE7"/>
    <w:multiLevelType w:val="hybridMultilevel"/>
    <w:lvl w:ilvl="0">
      <w:lvlJc w:val="left"/>
      <w:lvlText w:val="%1."/>
      <w:numFmt w:val="decimal"/>
      <w:start w:val="1"/>
    </w:lvl>
    <w:lvl w:ilvl="1">
      <w:lvlJc w:val="left"/>
      <w:lvlText w:val="%2"/>
      <w:numFmt w:val="lowerRoman"/>
      <w:start w:val="1"/>
    </w:lvl>
  </w:abstractNum>
  <w:abstractNum w:abstractNumId="11">
    <w:nsid w:val="66EF438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2020-02-14T08:34:40Z</dcterms:created>
  <dcterms:modified xsi:type="dcterms:W3CDTF">2020-02-14T08:34:40Z</dcterms:modified>
</cp:coreProperties>
</file>