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466090</wp:posOffset>
            </wp:positionV>
            <wp:extent cx="69951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525780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2623185</wp:posOffset>
            </wp:positionH>
            <wp:positionV relativeFrom="paragraph">
              <wp:posOffset>175895</wp:posOffset>
            </wp:positionV>
            <wp:extent cx="1748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2623185</wp:posOffset>
            </wp:positionH>
            <wp:positionV relativeFrom="paragraph">
              <wp:posOffset>195580</wp:posOffset>
            </wp:positionV>
            <wp:extent cx="1748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Date of Report (Date of earliest event reported): April 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2623185</wp:posOffset>
            </wp:positionH>
            <wp:positionV relativeFrom="paragraph">
              <wp:posOffset>188595</wp:posOffset>
            </wp:positionV>
            <wp:extent cx="1748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89bio,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2623185</wp:posOffset>
            </wp:positionH>
            <wp:positionV relativeFrom="paragraph">
              <wp:posOffset>175895</wp:posOffset>
            </wp:positionV>
            <wp:extent cx="1748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844" w:type="dxa"/>
        <w:tblCellMar>
          <w:top w:w="0" w:type="dxa"/>
          <w:left w:w="0" w:type="dxa"/>
          <w:bottom w:w="0" w:type="dxa"/>
          <w:right w:w="0" w:type="dxa"/>
        </w:tblCellMar>
      </w:tblPr>
      <w:tr>
        <w:trPr>
          <w:trHeight w:val="216"/>
        </w:trPr>
        <w:tc>
          <w:tcPr>
            <w:tcW w:w="21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Delaware</w:t>
            </w:r>
          </w:p>
        </w:tc>
        <w:tc>
          <w:tcPr>
            <w:tcW w:w="51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001-39122</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36-4946844</w:t>
            </w:r>
          </w:p>
        </w:tc>
      </w:tr>
      <w:tr>
        <w:trPr>
          <w:trHeight w:val="216"/>
        </w:trPr>
        <w:tc>
          <w:tcPr>
            <w:tcW w:w="21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(State or other jurisdiction</w:t>
            </w:r>
          </w:p>
        </w:tc>
        <w:tc>
          <w:tcPr>
            <w:tcW w:w="51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of incorporation)</w:t>
            </w:r>
          </w:p>
        </w:tc>
        <w:tc>
          <w:tcPr>
            <w:tcW w:w="51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1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142 Sansome Street, Second Floor</w:t>
            </w:r>
          </w:p>
        </w:tc>
        <w:tc>
          <w:tcPr>
            <w:tcW w:w="168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1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San Francisco, CA 94104</w:t>
            </w:r>
          </w:p>
        </w:tc>
        <w:tc>
          <w:tcPr>
            <w:tcW w:w="168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1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 including zip code)</w:t>
            </w:r>
          </w:p>
        </w:tc>
        <w:tc>
          <w:tcPr>
            <w:tcW w:w="1680" w:type="dxa"/>
            <w:vAlign w:val="bottom"/>
          </w:tcPr>
          <w:p>
            <w:pPr>
              <w:spacing w:after="0"/>
              <w:rPr>
                <w:sz w:val="20"/>
                <w:szCs w:val="20"/>
                <w:color w:val="auto"/>
              </w:rPr>
            </w:pPr>
          </w:p>
        </w:tc>
      </w:tr>
      <w:tr>
        <w:trPr>
          <w:trHeight w:val="414"/>
        </w:trPr>
        <w:tc>
          <w:tcPr>
            <w:tcW w:w="2180" w:type="dxa"/>
            <w:vAlign w:val="bottom"/>
          </w:tcPr>
          <w:p>
            <w:pPr>
              <w:spacing w:after="0"/>
              <w:rPr>
                <w:sz w:val="24"/>
                <w:szCs w:val="24"/>
                <w:color w:val="auto"/>
              </w:rPr>
            </w:pPr>
          </w:p>
        </w:tc>
        <w:tc>
          <w:tcPr>
            <w:tcW w:w="51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(415) 500-4614</w:t>
            </w:r>
          </w:p>
        </w:tc>
        <w:tc>
          <w:tcPr>
            <w:tcW w:w="168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1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680" w:type="dxa"/>
            <w:vAlign w:val="bottom"/>
          </w:tcPr>
          <w:p>
            <w:pPr>
              <w:spacing w:after="0"/>
              <w:rPr>
                <w:sz w:val="20"/>
                <w:szCs w:val="20"/>
                <w:color w:val="auto"/>
              </w:rPr>
            </w:pPr>
          </w:p>
        </w:tc>
      </w:tr>
      <w:tr>
        <w:trPr>
          <w:trHeight w:val="414"/>
        </w:trPr>
        <w:tc>
          <w:tcPr>
            <w:tcW w:w="2180" w:type="dxa"/>
            <w:vAlign w:val="bottom"/>
          </w:tcPr>
          <w:p>
            <w:pPr>
              <w:spacing w:after="0"/>
              <w:rPr>
                <w:sz w:val="24"/>
                <w:szCs w:val="24"/>
                <w:color w:val="auto"/>
              </w:rPr>
            </w:pPr>
          </w:p>
        </w:tc>
        <w:tc>
          <w:tcPr>
            <w:tcW w:w="51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Not Applicable</w:t>
            </w:r>
          </w:p>
        </w:tc>
        <w:tc>
          <w:tcPr>
            <w:tcW w:w="168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1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 w:right="2540" w:hanging="4"/>
        <w:spacing w:after="0" w:line="496"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2"/>
                <w:szCs w:val="12"/>
                <w:color w:val="auto"/>
              </w:rPr>
            </w:pPr>
          </w:p>
        </w:tc>
        <w:tc>
          <w:tcPr>
            <w:tcW w:w="3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2"/>
                <w:szCs w:val="12"/>
                <w:color w:val="auto"/>
              </w:rPr>
            </w:pP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7"/>
              </w:rPr>
              <w:t>ETNB</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347980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854" w:right="4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April 7, 2020, 89bio, Inc. (the “Company”) and certain of its subsidiaries party thereto, as co-borrowers (together with the Company, the “Borrowers”), entered into a Loan and Security Agreement (the “Loan Agreement”) with the lenders referred to therein (the “Lenders”), and Silicon Valley Bank, as collateral agent (in such capacity, the “Collateral Agent”). The Loan Agreement provides for (i) a secured term A loan facility (the “Term A Loan Facility”) of up to $10.0 million and (ii) a secured term B loan facility (the “Term B Loan Facility”) of up to $5.0 million that is available upon the Company satisfying certain milestones. The Term A Loan Facility matures on November 1, 2022; provided, that if the Term B Loan Facility is funded, the facilities shall instead mature on September 1, 2023.</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obligations of the Borrowers under the Loan Agreement are secured by certain assets of the Borrowers, including substantially all of the assets of the Company, excluding the Company’s intellectual property.</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At the Company’s option, the loan will bear interest at the greater of (i) 4.50% and (ii) the sum of (a) the Prime Rate as reported in The Wall Street Journal </w:t>
      </w:r>
      <w:r>
        <w:rPr>
          <w:rFonts w:ascii="Arial" w:cs="Arial" w:eastAsia="Arial" w:hAnsi="Arial"/>
          <w:sz w:val="18"/>
          <w:szCs w:val="18"/>
          <w:i w:val="1"/>
          <w:iCs w:val="1"/>
          <w:color w:val="auto"/>
        </w:rPr>
        <w:t>plus</w:t>
      </w:r>
      <w:r>
        <w:rPr>
          <w:rFonts w:ascii="Arial" w:cs="Arial" w:eastAsia="Arial" w:hAnsi="Arial"/>
          <w:sz w:val="18"/>
          <w:szCs w:val="18"/>
          <w:color w:val="auto"/>
        </w:rPr>
        <w:t xml:space="preserve"> (b) 1.25%.</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proceeds of borrowings under the Loan Agreement are expected to be used for working capital and general business requirements. Upon closing of the Loan Agreement on April 7, 2020 (the “Closing Date”), no amounts were drawn.</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Loan Agreement also contains customary affirmative and negative covenants that, among other things, limit the ability of the Borrowers or their subsidiaries to incur indebtedness; grant liens; enter into a merger or consolidation; sell all or a portion of their property, business or assets; or in the case of the Company’s wholly-owned subsidiaries, 89Bio Ltd. and UAB 89bio Lithuania, to hold certain assets.</w:t>
      </w:r>
    </w:p>
    <w:p>
      <w:pPr>
        <w:spacing w:after="0" w:line="16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Loan Agreement contains customary events of default, including a change in control. Upon the occurrence and continuation of an event of default, all amounts due under the Loan Agreement become (in the case of a bankruptcy event), or may become (in the case of all other events of default and at the option of the Collateral Agent), immediately due and payable.</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under the Loan Agreement, the Company agreed to issue the Lenders warrants to purchase shares of the Company’s common stock (the “Warrants”). The exercise price per share for the Warrants is determined as the lower of (i) the average closing price per share of the Company’s common stock for the 10 days prior to the date of issuance or (ii) the closing price per share of the Company’s common stock on the day prior to the date of issuance (the “Warrant Exercise Price”). On the Closing Date, Warrants to purchase 25,000 shares of the Company’s common stock were issued with a Warrant Exercise Price of $22.06 per share. Additional Warrants exercisable for 8,333 shares of common stock will be issued in connection with the Term B Loan Facility, if funded. The Warrants may be exercised on a cashless basis, and are immediately exercisable through the tenth anniversary of the applicable funding date. The number of shares of common stock for which each Warrant is exercisable and the associated exercise price are subject to certain proportional adjustments.</w:t>
      </w:r>
    </w:p>
    <w:p>
      <w:pPr>
        <w:spacing w:after="0" w:line="17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foregoing descriptions of the Loan Agreement and the Warrants do not purport to be complete and are qualified in their entirety by reference to the complete text of the Loan Agreement filed as Exhibit 10.1 attached hereto and the form of Warrant filed as Exhibit 4.1 attached hereto.</w:t>
      </w:r>
    </w:p>
    <w:p>
      <w:pPr>
        <w:spacing w:after="0" w:line="14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above regarding the Loan Agreement is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374650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00"/>
          </w:cols>
          <w:pgMar w:left="440" w:top="580" w:right="459" w:bottom="1440" w:gutter="0" w:footer="0" w:header="0"/>
        </w:sectPr>
      </w:pPr>
    </w:p>
    <w:bookmarkStart w:id="2" w:name="page3"/>
    <w:bookmarkEnd w:id="2"/>
    <w:p>
      <w:pPr>
        <w:ind w:left="4"/>
        <w:spacing w:after="0"/>
        <w:tabs>
          <w:tab w:leader="none" w:pos="1284"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The information set forth in Item 1.01 above regarding the Warrants is incorporated by reference into this Item 3.02. The issuance of shares of the Company’s common stock underlying the Warrants will be made in reliance upon the exemption from registration contained in Section 4(a)(2) of the Securities Act of 1933, as amended, and Rule 506 of Regulation D thereunder.</w:t>
      </w:r>
    </w:p>
    <w:p>
      <w:pPr>
        <w:spacing w:after="0" w:line="180" w:lineRule="exact"/>
        <w:rPr>
          <w:sz w:val="20"/>
          <w:szCs w:val="20"/>
          <w:color w:val="auto"/>
        </w:rPr>
      </w:pPr>
    </w:p>
    <w:p>
      <w:pPr>
        <w:ind w:left="4"/>
        <w:spacing w:after="0"/>
        <w:tabs>
          <w:tab w:leader="none" w:pos="120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4" w:hanging="264"/>
        <w:spacing w:after="0"/>
        <w:tabs>
          <w:tab w:leader="none" w:pos="26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20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48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62"/>
        </w:trPr>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20" w:type="dxa"/>
            <w:vAlign w:val="bottom"/>
          </w:tcPr>
          <w:p>
            <w:pPr>
              <w:spacing w:after="0"/>
              <w:rPr>
                <w:sz w:val="24"/>
                <w:szCs w:val="24"/>
                <w:color w:val="auto"/>
              </w:rPr>
            </w:pPr>
          </w:p>
        </w:tc>
        <w:tc>
          <w:tcPr>
            <w:tcW w:w="97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220" w:type="dxa"/>
            <w:vAlign w:val="bottom"/>
          </w:tcPr>
          <w:p>
            <w:pPr>
              <w:spacing w:after="0"/>
              <w:rPr>
                <w:sz w:val="14"/>
                <w:szCs w:val="14"/>
                <w:color w:val="auto"/>
              </w:rPr>
            </w:pPr>
          </w:p>
        </w:tc>
        <w:tc>
          <w:tcPr>
            <w:tcW w:w="9700" w:type="dxa"/>
            <w:vAlign w:val="bottom"/>
            <w:tcBorders>
              <w:bottom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10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9700" w:type="dxa"/>
            <w:vAlign w:val="bottom"/>
            <w:gridSpan w:val="5"/>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Form of Warrant to Purchase Common Stock for Silicon Valley Bank</w:t>
              </w:r>
            </w:hyperlink>
          </w:p>
        </w:tc>
        <w:tc>
          <w:tcPr>
            <w:tcW w:w="0" w:type="dxa"/>
            <w:vAlign w:val="bottom"/>
          </w:tcPr>
          <w:p>
            <w:pPr>
              <w:spacing w:after="0"/>
              <w:rPr>
                <w:sz w:val="1"/>
                <w:szCs w:val="1"/>
                <w:color w:val="auto"/>
              </w:rPr>
            </w:pPr>
          </w:p>
        </w:tc>
      </w:tr>
      <w:tr>
        <w:trPr>
          <w:trHeight w:val="190"/>
        </w:trPr>
        <w:tc>
          <w:tcPr>
            <w:tcW w:w="110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6"/>
                <w:szCs w:val="16"/>
                <w:color w:val="auto"/>
              </w:rPr>
            </w:pPr>
          </w:p>
        </w:tc>
        <w:tc>
          <w:tcPr>
            <w:tcW w:w="9700" w:type="dxa"/>
            <w:vAlign w:val="bottom"/>
            <w:gridSpan w:val="5"/>
          </w:tcPr>
          <w:p>
            <w:pPr>
              <w:spacing w:after="0" w:line="190"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Loan and Security Agreement, dated as of April 7, 2020, among Silicon Valley Bank, the Lenders party thereto, 89bio, Inc., 89bio</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Management, Inc. and 89Bio Ltd.</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1"/>
        </w:trPr>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top w:val="single" w:sz="8" w:color="0000EE"/>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580"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Arial" w:cs="Arial" w:eastAsia="Arial" w:hAnsi="Arial"/>
                <w:sz w:val="18"/>
                <w:szCs w:val="18"/>
                <w:b w:val="1"/>
                <w:bCs w:val="1"/>
                <w:color w:val="auto"/>
              </w:rPr>
              <w:t>89bio,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April 13, 2020</w:t>
            </w:r>
          </w:p>
        </w:tc>
        <w:tc>
          <w:tcPr>
            <w:tcW w:w="7480" w:type="dxa"/>
            <w:vAlign w:val="bottom"/>
            <w:gridSpan w:val="2"/>
          </w:tcPr>
          <w:p>
            <w:pPr>
              <w:ind w:left="2080"/>
              <w:spacing w:after="0"/>
              <w:rPr>
                <w:sz w:val="20"/>
                <w:szCs w:val="20"/>
                <w:color w:val="auto"/>
              </w:rPr>
            </w:pPr>
            <w:r>
              <w:rPr>
                <w:rFonts w:ascii="Arial" w:cs="Arial" w:eastAsia="Arial" w:hAnsi="Arial"/>
                <w:sz w:val="18"/>
                <w:szCs w:val="18"/>
                <w:color w:val="auto"/>
              </w:rPr>
              <w:t>By:  /s/ Rohan Palekar</w:t>
            </w:r>
          </w:p>
        </w:tc>
      </w:tr>
      <w:tr>
        <w:trPr>
          <w:trHeight w:val="195"/>
        </w:trPr>
        <w:tc>
          <w:tcPr>
            <w:tcW w:w="35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Rohan Palekar</w:t>
            </w:r>
          </w:p>
        </w:tc>
      </w:tr>
      <w:tr>
        <w:trPr>
          <w:trHeight w:val="230"/>
        </w:trPr>
        <w:tc>
          <w:tcPr>
            <w:tcW w:w="35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580" w:right="439" w:bottom="1440" w:gutter="0" w:footer="0" w:header="0"/>
        </w:sectPr>
      </w:pPr>
    </w:p>
    <w:bookmarkStart w:id="4" w:name="page5"/>
    <w:bookmarkEnd w:id="4"/>
    <w:p>
      <w:pPr>
        <w:ind w:left="10180"/>
        <w:spacing w:after="0"/>
        <w:rPr>
          <w:sz w:val="20"/>
          <w:szCs w:val="20"/>
          <w:color w:val="auto"/>
        </w:rPr>
      </w:pPr>
      <w:r>
        <w:rPr>
          <w:rFonts w:ascii="Arial" w:cs="Arial" w:eastAsia="Arial" w:hAnsi="Arial"/>
          <w:sz w:val="16"/>
          <w:szCs w:val="16"/>
          <w:b w:val="1"/>
          <w:bCs w:val="1"/>
          <w:color w:val="auto"/>
        </w:rPr>
        <w:t>Exhibit 4.1</w:t>
      </w:r>
    </w:p>
    <w:p>
      <w:pPr>
        <w:spacing w:after="0" w:line="25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THIS WARRANT AND THE SHARES ISSUABLE HEREUNDER HAVE NOT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380" w:type="dxa"/>
            <w:vAlign w:val="bottom"/>
          </w:tcPr>
          <w:p>
            <w:pPr>
              <w:ind w:left="1600"/>
              <w:spacing w:after="0"/>
              <w:rPr>
                <w:sz w:val="20"/>
                <w:szCs w:val="20"/>
                <w:color w:val="auto"/>
              </w:rPr>
            </w:pPr>
            <w:r>
              <w:rPr>
                <w:rFonts w:ascii="Arial" w:cs="Arial" w:eastAsia="Arial" w:hAnsi="Arial"/>
                <w:sz w:val="18"/>
                <w:szCs w:val="18"/>
                <w:b w:val="1"/>
                <w:bCs w:val="1"/>
                <w:color w:val="auto"/>
              </w:rPr>
              <w:t>WARRANT TO PURCHASE STOCK</w:t>
            </w:r>
          </w:p>
        </w:tc>
      </w:tr>
      <w:tr>
        <w:trPr>
          <w:trHeight w:val="445"/>
        </w:trPr>
        <w:tc>
          <w:tcPr>
            <w:tcW w:w="1700" w:type="dxa"/>
            <w:vAlign w:val="bottom"/>
          </w:tcPr>
          <w:p>
            <w:pPr>
              <w:spacing w:after="0"/>
              <w:rPr>
                <w:sz w:val="20"/>
                <w:szCs w:val="20"/>
                <w:color w:val="auto"/>
              </w:rPr>
            </w:pPr>
            <w:r>
              <w:rPr>
                <w:rFonts w:ascii="Arial" w:cs="Arial" w:eastAsia="Arial" w:hAnsi="Arial"/>
                <w:sz w:val="18"/>
                <w:szCs w:val="18"/>
                <w:color w:val="auto"/>
              </w:rPr>
              <w:t>Company:</w:t>
            </w:r>
          </w:p>
        </w:tc>
        <w:tc>
          <w:tcPr>
            <w:tcW w:w="9120" w:type="dxa"/>
            <w:vAlign w:val="bottom"/>
            <w:gridSpan w:val="2"/>
          </w:tcPr>
          <w:p>
            <w:pPr>
              <w:ind w:left="180"/>
              <w:spacing w:after="0"/>
              <w:rPr>
                <w:sz w:val="20"/>
                <w:szCs w:val="20"/>
                <w:color w:val="auto"/>
              </w:rPr>
            </w:pPr>
            <w:r>
              <w:rPr>
                <w:rFonts w:ascii="Arial" w:cs="Arial" w:eastAsia="Arial" w:hAnsi="Arial"/>
                <w:sz w:val="18"/>
                <w:szCs w:val="18"/>
                <w:color w:val="auto"/>
              </w:rPr>
              <w:t>89BIO, INC., a Delaware corporation</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Number of Shares:</w:t>
            </w:r>
          </w:p>
        </w:tc>
        <w:tc>
          <w:tcPr>
            <w:tcW w:w="740" w:type="dxa"/>
            <w:vAlign w:val="bottom"/>
          </w:tcPr>
          <w:p>
            <w:pPr>
              <w:ind w:left="180"/>
              <w:spacing w:after="0"/>
              <w:rPr>
                <w:sz w:val="20"/>
                <w:szCs w:val="20"/>
                <w:color w:val="auto"/>
              </w:rPr>
            </w:pPr>
            <w:r>
              <w:rPr>
                <w:rFonts w:ascii="Arial" w:cs="Arial" w:eastAsia="Arial" w:hAnsi="Arial"/>
                <w:sz w:val="18"/>
                <w:szCs w:val="18"/>
                <w:color w:val="auto"/>
              </w:rPr>
              <w:t>[</w:t>
            </w:r>
          </w:p>
        </w:tc>
        <w:tc>
          <w:tcPr>
            <w:tcW w:w="8380" w:type="dxa"/>
            <w:vAlign w:val="bottom"/>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w w:val="98"/>
              </w:rPr>
              <w:t>Type/Series of Stock:</w:t>
            </w:r>
          </w:p>
        </w:tc>
        <w:tc>
          <w:tcPr>
            <w:tcW w:w="9120" w:type="dxa"/>
            <w:vAlign w:val="bottom"/>
            <w:gridSpan w:val="2"/>
          </w:tcPr>
          <w:p>
            <w:pPr>
              <w:ind w:left="180"/>
              <w:spacing w:after="0"/>
              <w:rPr>
                <w:sz w:val="20"/>
                <w:szCs w:val="20"/>
                <w:color w:val="auto"/>
              </w:rPr>
            </w:pPr>
            <w:r>
              <w:rPr>
                <w:rFonts w:ascii="Arial" w:cs="Arial" w:eastAsia="Arial" w:hAnsi="Arial"/>
                <w:sz w:val="18"/>
                <w:szCs w:val="18"/>
                <w:color w:val="auto"/>
              </w:rPr>
              <w:t>Common Stock</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Warrant Price:</w:t>
            </w:r>
          </w:p>
        </w:tc>
        <w:tc>
          <w:tcPr>
            <w:tcW w:w="740" w:type="dxa"/>
            <w:vAlign w:val="bottom"/>
          </w:tcPr>
          <w:p>
            <w:pPr>
              <w:ind w:left="180"/>
              <w:spacing w:after="0"/>
              <w:rPr>
                <w:sz w:val="20"/>
                <w:szCs w:val="20"/>
                <w:color w:val="auto"/>
              </w:rPr>
            </w:pPr>
            <w:r>
              <w:rPr>
                <w:rFonts w:ascii="Arial" w:cs="Arial" w:eastAsia="Arial" w:hAnsi="Arial"/>
                <w:sz w:val="18"/>
                <w:szCs w:val="18"/>
                <w:color w:val="auto"/>
              </w:rPr>
              <w:t>$[</w:t>
            </w:r>
          </w:p>
        </w:tc>
        <w:tc>
          <w:tcPr>
            <w:tcW w:w="838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Issue Date:</w:t>
            </w:r>
          </w:p>
        </w:tc>
        <w:tc>
          <w:tcPr>
            <w:tcW w:w="740" w:type="dxa"/>
            <w:vAlign w:val="bottom"/>
          </w:tcPr>
          <w:p>
            <w:pPr>
              <w:ind w:left="180"/>
              <w:spacing w:after="0"/>
              <w:rPr>
                <w:sz w:val="20"/>
                <w:szCs w:val="20"/>
                <w:color w:val="auto"/>
              </w:rPr>
            </w:pPr>
            <w:r>
              <w:rPr>
                <w:rFonts w:ascii="Arial" w:cs="Arial" w:eastAsia="Arial" w:hAnsi="Arial"/>
                <w:sz w:val="18"/>
                <w:szCs w:val="18"/>
                <w:color w:val="auto"/>
              </w:rPr>
              <w:t>[</w:t>
            </w:r>
          </w:p>
        </w:tc>
        <w:tc>
          <w:tcPr>
            <w:tcW w:w="8380" w:type="dxa"/>
            <w:vAlign w:val="bottom"/>
          </w:tcPr>
          <w:p>
            <w:pPr>
              <w:ind w:left="440"/>
              <w:spacing w:after="0"/>
              <w:rPr>
                <w:sz w:val="20"/>
                <w:szCs w:val="20"/>
                <w:color w:val="auto"/>
              </w:rPr>
            </w:pPr>
            <w:r>
              <w:rPr>
                <w:rFonts w:ascii="Arial" w:cs="Arial" w:eastAsia="Arial" w:hAnsi="Arial"/>
                <w:sz w:val="18"/>
                <w:szCs w:val="18"/>
                <w:color w:val="auto"/>
              </w:rPr>
              <w:t>]</w:t>
            </w:r>
          </w:p>
        </w:tc>
      </w:tr>
      <w:tr>
        <w:trPr>
          <w:trHeight w:val="212"/>
        </w:trPr>
        <w:tc>
          <w:tcPr>
            <w:tcW w:w="1700" w:type="dxa"/>
            <w:vAlign w:val="bottom"/>
          </w:tcPr>
          <w:p>
            <w:pPr>
              <w:spacing w:after="0"/>
              <w:rPr>
                <w:sz w:val="20"/>
                <w:szCs w:val="20"/>
                <w:color w:val="auto"/>
              </w:rPr>
            </w:pPr>
            <w:r>
              <w:rPr>
                <w:rFonts w:ascii="Arial" w:cs="Arial" w:eastAsia="Arial" w:hAnsi="Arial"/>
                <w:sz w:val="18"/>
                <w:szCs w:val="18"/>
                <w:color w:val="auto"/>
              </w:rPr>
              <w:t>Expiration Date:</w:t>
            </w:r>
          </w:p>
        </w:tc>
        <w:tc>
          <w:tcPr>
            <w:tcW w:w="740" w:type="dxa"/>
            <w:vAlign w:val="bottom"/>
          </w:tcPr>
          <w:p>
            <w:pPr>
              <w:ind w:left="180"/>
              <w:spacing w:after="0"/>
              <w:rPr>
                <w:sz w:val="20"/>
                <w:szCs w:val="20"/>
                <w:color w:val="auto"/>
              </w:rPr>
            </w:pPr>
            <w:r>
              <w:rPr>
                <w:rFonts w:ascii="Arial" w:cs="Arial" w:eastAsia="Arial" w:hAnsi="Arial"/>
                <w:sz w:val="18"/>
                <w:szCs w:val="18"/>
                <w:color w:val="auto"/>
              </w:rPr>
              <w:t>[</w:t>
            </w:r>
          </w:p>
        </w:tc>
        <w:tc>
          <w:tcPr>
            <w:tcW w:w="8380" w:type="dxa"/>
            <w:vAlign w:val="bottom"/>
          </w:tcPr>
          <w:p>
            <w:pPr>
              <w:ind w:left="440"/>
              <w:spacing w:after="0"/>
              <w:rPr>
                <w:sz w:val="20"/>
                <w:szCs w:val="20"/>
                <w:color w:val="auto"/>
              </w:rPr>
            </w:pPr>
            <w:r>
              <w:rPr>
                <w:rFonts w:ascii="Arial" w:cs="Arial" w:eastAsia="Arial" w:hAnsi="Arial"/>
                <w:sz w:val="18"/>
                <w:szCs w:val="18"/>
                <w:color w:val="auto"/>
              </w:rPr>
              <w:t>]See also Section 5.1(b).</w:t>
            </w:r>
          </w:p>
        </w:tc>
      </w:tr>
      <w:tr>
        <w:trPr>
          <w:trHeight w:val="220"/>
        </w:trPr>
        <w:tc>
          <w:tcPr>
            <w:tcW w:w="1700" w:type="dxa"/>
            <w:vAlign w:val="bottom"/>
          </w:tcPr>
          <w:p>
            <w:pPr>
              <w:spacing w:after="0"/>
              <w:rPr>
                <w:sz w:val="20"/>
                <w:szCs w:val="20"/>
                <w:color w:val="auto"/>
              </w:rPr>
            </w:pPr>
            <w:r>
              <w:rPr>
                <w:rFonts w:ascii="Arial" w:cs="Arial" w:eastAsia="Arial" w:hAnsi="Arial"/>
                <w:sz w:val="18"/>
                <w:szCs w:val="18"/>
                <w:color w:val="auto"/>
              </w:rPr>
              <w:t>Credit Facility:</w:t>
            </w:r>
          </w:p>
        </w:tc>
        <w:tc>
          <w:tcPr>
            <w:tcW w:w="9120" w:type="dxa"/>
            <w:vAlign w:val="bottom"/>
            <w:gridSpan w:val="2"/>
          </w:tcPr>
          <w:p>
            <w:pPr>
              <w:ind w:left="180"/>
              <w:spacing w:after="0"/>
              <w:rPr>
                <w:sz w:val="20"/>
                <w:szCs w:val="20"/>
                <w:color w:val="auto"/>
              </w:rPr>
            </w:pPr>
            <w:r>
              <w:rPr>
                <w:rFonts w:ascii="Arial" w:cs="Arial" w:eastAsia="Arial" w:hAnsi="Arial"/>
                <w:sz w:val="18"/>
                <w:szCs w:val="18"/>
                <w:color w:val="auto"/>
                <w:w w:val="91"/>
              </w:rPr>
              <w:t>This Warrant to Purchase Stock (“</w:t>
            </w:r>
            <w:r>
              <w:rPr>
                <w:rFonts w:ascii="Arial" w:cs="Arial" w:eastAsia="Arial" w:hAnsi="Arial"/>
                <w:sz w:val="18"/>
                <w:szCs w:val="18"/>
                <w:b w:val="1"/>
                <w:bCs w:val="1"/>
                <w:color w:val="auto"/>
                <w:w w:val="91"/>
              </w:rPr>
              <w:t>Warrant</w:t>
            </w:r>
            <w:r>
              <w:rPr>
                <w:rFonts w:ascii="Arial" w:cs="Arial" w:eastAsia="Arial" w:hAnsi="Arial"/>
                <w:sz w:val="18"/>
                <w:szCs w:val="18"/>
                <w:color w:val="auto"/>
                <w:w w:val="91"/>
              </w:rPr>
              <w:t>”) is issued in connection with that certain Loan and Security Agreement of even</w:t>
            </w:r>
          </w:p>
        </w:tc>
      </w:tr>
      <w:tr>
        <w:trPr>
          <w:trHeight w:val="212"/>
        </w:trPr>
        <w:tc>
          <w:tcPr>
            <w:tcW w:w="1700" w:type="dxa"/>
            <w:vAlign w:val="bottom"/>
          </w:tcPr>
          <w:p>
            <w:pPr>
              <w:spacing w:after="0"/>
              <w:rPr>
                <w:sz w:val="18"/>
                <w:szCs w:val="18"/>
                <w:color w:val="auto"/>
              </w:rPr>
            </w:pPr>
          </w:p>
        </w:tc>
        <w:tc>
          <w:tcPr>
            <w:tcW w:w="9120" w:type="dxa"/>
            <w:vAlign w:val="bottom"/>
            <w:gridSpan w:val="2"/>
          </w:tcPr>
          <w:p>
            <w:pPr>
              <w:ind w:left="180"/>
              <w:spacing w:after="0"/>
              <w:rPr>
                <w:sz w:val="20"/>
                <w:szCs w:val="20"/>
                <w:color w:val="auto"/>
              </w:rPr>
            </w:pPr>
            <w:r>
              <w:rPr>
                <w:rFonts w:ascii="Arial" w:cs="Arial" w:eastAsia="Arial" w:hAnsi="Arial"/>
                <w:sz w:val="18"/>
                <w:szCs w:val="18"/>
                <w:color w:val="auto"/>
                <w:w w:val="91"/>
              </w:rPr>
              <w:t>date herewith among Silicon Valley Bank, as Lender and Collateral Agent, the Lenders from time to time party thereto, and</w:t>
            </w:r>
          </w:p>
        </w:tc>
      </w:tr>
      <w:tr>
        <w:trPr>
          <w:trHeight w:val="234"/>
        </w:trPr>
        <w:tc>
          <w:tcPr>
            <w:tcW w:w="1700" w:type="dxa"/>
            <w:vAlign w:val="bottom"/>
          </w:tcPr>
          <w:p>
            <w:pPr>
              <w:spacing w:after="0"/>
              <w:rPr>
                <w:sz w:val="20"/>
                <w:szCs w:val="20"/>
                <w:color w:val="auto"/>
              </w:rPr>
            </w:pPr>
          </w:p>
        </w:tc>
        <w:tc>
          <w:tcPr>
            <w:tcW w:w="9120" w:type="dxa"/>
            <w:vAlign w:val="bottom"/>
            <w:gridSpan w:val="2"/>
          </w:tcPr>
          <w:p>
            <w:pPr>
              <w:ind w:left="180"/>
              <w:spacing w:after="0"/>
              <w:rPr>
                <w:sz w:val="20"/>
                <w:szCs w:val="20"/>
                <w:color w:val="auto"/>
              </w:rPr>
            </w:pPr>
            <w:r>
              <w:rPr>
                <w:rFonts w:ascii="Arial" w:cs="Arial" w:eastAsia="Arial" w:hAnsi="Arial"/>
                <w:sz w:val="18"/>
                <w:szCs w:val="18"/>
                <w:color w:val="auto"/>
              </w:rPr>
              <w:t>the Company (as modified, amended and/or restated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tc>
      </w:tr>
    </w:tbl>
    <w:p>
      <w:pPr>
        <w:spacing w:after="0" w:line="198" w:lineRule="exact"/>
        <w:rPr>
          <w:sz w:val="20"/>
          <w:szCs w:val="20"/>
          <w:color w:val="auto"/>
        </w:rPr>
      </w:pPr>
    </w:p>
    <w:p>
      <w:pPr>
        <w:ind w:right="40" w:firstLine="440"/>
        <w:spacing w:after="0" w:line="256" w:lineRule="auto"/>
        <w:rPr>
          <w:sz w:val="20"/>
          <w:szCs w:val="20"/>
          <w:color w:val="auto"/>
        </w:rPr>
      </w:pPr>
      <w:r>
        <w:rPr>
          <w:rFonts w:ascii="Arial" w:cs="Arial" w:eastAsia="Arial" w:hAnsi="Arial"/>
          <w:sz w:val="18"/>
          <w:szCs w:val="18"/>
          <w:color w:val="auto"/>
        </w:rPr>
        <w:t>THIS WARRANT CERTIFIES THAT, for good and valuable consideration, SILICON VALLEY BANK (“</w:t>
      </w:r>
      <w:r>
        <w:rPr>
          <w:rFonts w:ascii="Arial" w:cs="Arial" w:eastAsia="Arial" w:hAnsi="Arial"/>
          <w:sz w:val="18"/>
          <w:szCs w:val="18"/>
          <w:b w:val="1"/>
          <w:bCs w:val="1"/>
          <w:color w:val="auto"/>
        </w:rPr>
        <w:t>SVB</w:t>
      </w:r>
      <w:r>
        <w:rPr>
          <w:rFonts w:ascii="Arial" w:cs="Arial" w:eastAsia="Arial" w:hAnsi="Arial"/>
          <w:sz w:val="18"/>
          <w:szCs w:val="18"/>
          <w:color w:val="auto"/>
        </w:rPr>
        <w:t>” and, together with any successor or permitted assignee or transferee of this Warrant or of any shares issued upon exercise hereof, “</w:t>
      </w:r>
      <w:r>
        <w:rPr>
          <w:rFonts w:ascii="Arial" w:cs="Arial" w:eastAsia="Arial" w:hAnsi="Arial"/>
          <w:sz w:val="18"/>
          <w:szCs w:val="18"/>
          <w:b w:val="1"/>
          <w:bCs w:val="1"/>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color w:val="auto"/>
        </w:rPr>
        <w:t>Shares</w:t>
      </w:r>
      <w:r>
        <w:rPr>
          <w:rFonts w:ascii="Arial" w:cs="Arial" w:eastAsia="Arial" w:hAnsi="Arial"/>
          <w:sz w:val="18"/>
          <w:szCs w:val="18"/>
          <w:color w:val="auto"/>
        </w:rPr>
        <w:t>”) of the above-stated Type/Series of Stock (the “</w:t>
      </w:r>
      <w:r>
        <w:rPr>
          <w:rFonts w:ascii="Arial" w:cs="Arial" w:eastAsia="Arial" w:hAnsi="Arial"/>
          <w:sz w:val="18"/>
          <w:szCs w:val="18"/>
          <w:b w:val="1"/>
          <w:bCs w:val="1"/>
          <w:color w:val="auto"/>
        </w:rPr>
        <w:t>Class</w:t>
      </w:r>
      <w:r>
        <w:rPr>
          <w:rFonts w:ascii="Arial" w:cs="Arial" w:eastAsia="Arial" w:hAnsi="Arial"/>
          <w:sz w:val="18"/>
          <w:szCs w:val="18"/>
          <w:color w:val="auto"/>
        </w:rPr>
        <w:t>”) of the above-named company (the “</w:t>
      </w:r>
      <w:r>
        <w:rPr>
          <w:rFonts w:ascii="Arial" w:cs="Arial" w:eastAsia="Arial" w:hAnsi="Arial"/>
          <w:sz w:val="18"/>
          <w:szCs w:val="18"/>
          <w:b w:val="1"/>
          <w:bCs w:val="1"/>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200" w:lineRule="exact"/>
        <w:rPr>
          <w:sz w:val="20"/>
          <w:szCs w:val="20"/>
          <w:color w:val="auto"/>
        </w:rPr>
      </w:pPr>
    </w:p>
    <w:p>
      <w:pPr>
        <w:spacing w:after="0" w:line="207" w:lineRule="exact"/>
        <w:rPr>
          <w:sz w:val="20"/>
          <w:szCs w:val="20"/>
          <w:color w:val="auto"/>
        </w:rPr>
      </w:pPr>
    </w:p>
    <w:p>
      <w:pPr>
        <w:jc w:val="center"/>
        <w:ind w:right="20"/>
        <w:spacing w:after="0"/>
        <w:tabs>
          <w:tab w:leader="none" w:pos="2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EXERCISE.</w:t>
      </w:r>
    </w:p>
    <w:p>
      <w:pPr>
        <w:spacing w:after="0" w:line="225" w:lineRule="exact"/>
        <w:rPr>
          <w:sz w:val="20"/>
          <w:szCs w:val="20"/>
          <w:color w:val="auto"/>
        </w:rPr>
      </w:pPr>
    </w:p>
    <w:p>
      <w:pPr>
        <w:ind w:right="160" w:firstLine="991"/>
        <w:spacing w:after="0" w:line="30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49"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 assessable Shares as are computed using the following formula:</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X = Y(A-B)/A</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131" w:lineRule="exact"/>
        <w:rPr>
          <w:sz w:val="20"/>
          <w:szCs w:val="20"/>
          <w:color w:val="auto"/>
        </w:rPr>
      </w:pPr>
    </w:p>
    <w:p>
      <w:pPr>
        <w:ind w:left="1960" w:right="580" w:hanging="539"/>
        <w:spacing w:after="0" w:line="277" w:lineRule="auto"/>
        <w:tabs>
          <w:tab w:leader="none" w:pos="1940" w:val="left"/>
        </w:tabs>
        <w:rPr>
          <w:sz w:val="20"/>
          <w:szCs w:val="20"/>
          <w:color w:val="auto"/>
        </w:rPr>
      </w:pPr>
      <w:r>
        <w:rPr>
          <w:rFonts w:ascii="Arial" w:cs="Arial" w:eastAsia="Arial" w:hAnsi="Arial"/>
          <w:sz w:val="18"/>
          <w:szCs w:val="18"/>
          <w:color w:val="auto"/>
        </w:rPr>
        <w:t>Y =</w:t>
        <w:tab/>
        <w:t>the number of Shares with respect to which this Warrant is being exercised (inclusive of the Shares surrendered to the Company in payment of the aggregate Warrant Price);</w:t>
      </w:r>
    </w:p>
    <w:p>
      <w:pPr>
        <w:sectPr>
          <w:pgSz w:w="11900" w:h="16838" w:orient="portrait"/>
          <w:cols w:equalWidth="0" w:num="1">
            <w:col w:w="11020"/>
          </w:cols>
          <w:pgMar w:left="440" w:top="121" w:right="439" w:bottom="1440" w:gutter="0" w:footer="0" w:header="0"/>
        </w:sectPr>
      </w:pPr>
    </w:p>
    <w:bookmarkStart w:id="5" w:name="page6"/>
    <w:bookmarkEnd w:id="5"/>
    <w:p>
      <w:pPr>
        <w:ind w:left="1424" w:right="2800"/>
        <w:spacing w:after="0" w:line="41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 the Fair Market Value (as determined pursuant to Section 1.3 below) of one Share; and B = the Warrant Price.</w:t>
      </w:r>
    </w:p>
    <w:p>
      <w:pPr>
        <w:spacing w:after="0" w:line="49" w:lineRule="exact"/>
        <w:rPr>
          <w:sz w:val="20"/>
          <w:szCs w:val="20"/>
          <w:color w:val="auto"/>
        </w:rPr>
      </w:pPr>
    </w:p>
    <w:p>
      <w:pPr>
        <w:ind w:left="4" w:right="80" w:firstLine="991"/>
        <w:spacing w:after="0" w:line="275"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Fair Market Value</w:t>
      </w:r>
      <w:r>
        <w:rPr>
          <w:rFonts w:ascii="Arial" w:cs="Arial" w:eastAsia="Arial" w:hAnsi="Arial"/>
          <w:sz w:val="17"/>
          <w:szCs w:val="17"/>
          <w:color w:val="auto"/>
        </w:rPr>
        <w:t>. If the Company’s common stock is then traded or quoted on a nationally recognized securities exchange, inter-dealer quotation system or over-the-counter market (a “</w:t>
      </w:r>
      <w:r>
        <w:rPr>
          <w:rFonts w:ascii="Arial" w:cs="Arial" w:eastAsia="Arial" w:hAnsi="Arial"/>
          <w:sz w:val="17"/>
          <w:szCs w:val="17"/>
          <w:b w:val="1"/>
          <w:bCs w:val="1"/>
          <w:color w:val="auto"/>
        </w:rPr>
        <w:t>Trading Market</w:t>
      </w:r>
      <w:r>
        <w:rPr>
          <w:rFonts w:ascii="Arial" w:cs="Arial" w:eastAsia="Arial" w:hAnsi="Arial"/>
          <w:sz w:val="17"/>
          <w:szCs w:val="17"/>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76" w:lineRule="exact"/>
        <w:rPr>
          <w:sz w:val="20"/>
          <w:szCs w:val="20"/>
          <w:color w:val="auto"/>
        </w:rPr>
      </w:pPr>
    </w:p>
    <w:p>
      <w:pPr>
        <w:ind w:left="4" w:right="380" w:firstLine="991"/>
        <w:spacing w:after="0" w:line="311"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Delivery of Certificate and New Warrant</w:t>
      </w:r>
      <w:r>
        <w:rPr>
          <w:rFonts w:ascii="Arial" w:cs="Arial" w:eastAsia="Arial" w:hAnsi="Arial"/>
          <w:sz w:val="16"/>
          <w:szCs w:val="16"/>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49" w:lineRule="exact"/>
        <w:rPr>
          <w:sz w:val="20"/>
          <w:szCs w:val="20"/>
          <w:color w:val="auto"/>
        </w:rPr>
      </w:pPr>
    </w:p>
    <w:p>
      <w:pPr>
        <w:ind w:left="4" w:right="160" w:firstLine="991"/>
        <w:spacing w:after="0" w:line="279"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w:t>
      </w:r>
      <w:r>
        <w:rPr>
          <w:rFonts w:ascii="Arial" w:cs="Arial" w:eastAsia="Arial" w:hAnsi="Arial"/>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279" w:lineRule="exact"/>
        <w:rPr>
          <w:sz w:val="20"/>
          <w:szCs w:val="20"/>
          <w:color w:val="auto"/>
        </w:rPr>
      </w:pPr>
    </w:p>
    <w:p>
      <w:pPr>
        <w:ind w:left="984"/>
        <w:spacing w:after="0"/>
        <w:tabs>
          <w:tab w:leader="none" w:pos="1424"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113" w:lineRule="exact"/>
        <w:rPr>
          <w:sz w:val="20"/>
          <w:szCs w:val="20"/>
          <w:color w:val="auto"/>
        </w:rPr>
      </w:pPr>
    </w:p>
    <w:p>
      <w:pPr>
        <w:ind w:left="4" w:right="100" w:firstLine="987"/>
        <w:spacing w:after="0" w:line="285" w:lineRule="auto"/>
        <w:tabs>
          <w:tab w:leader="none" w:pos="1375"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w:t>
      </w:r>
      <w:r>
        <w:rPr>
          <w:rFonts w:ascii="Arial" w:cs="Arial" w:eastAsia="Arial" w:hAnsi="Arial"/>
          <w:sz w:val="16"/>
          <w:szCs w:val="16"/>
          <w:b w:val="1"/>
          <w:bCs w:val="1"/>
          <w:color w:val="auto"/>
        </w:rPr>
        <w:t>Acquisition</w:t>
      </w:r>
      <w:r>
        <w:rPr>
          <w:rFonts w:ascii="Arial" w:cs="Arial" w:eastAsia="Arial" w:hAnsi="Arial"/>
          <w:sz w:val="16"/>
          <w:szCs w:val="16"/>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w:t>
      </w:r>
    </w:p>
    <w:p>
      <w:pPr>
        <w:ind w:left="4" w:right="360" w:hanging="4"/>
        <w:spacing w:after="0" w:line="260" w:lineRule="auto"/>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sale or other transfer by the stockholders of the Company of shares representing at least a majority of the Company’s then-total outstanding combined voting power.</w:t>
      </w:r>
    </w:p>
    <w:p>
      <w:pPr>
        <w:spacing w:after="0" w:line="185" w:lineRule="exact"/>
        <w:rPr>
          <w:rFonts w:ascii="Arial" w:cs="Arial" w:eastAsia="Arial" w:hAnsi="Arial"/>
          <w:sz w:val="18"/>
          <w:szCs w:val="18"/>
          <w:color w:val="auto"/>
        </w:rPr>
      </w:pPr>
    </w:p>
    <w:p>
      <w:pPr>
        <w:ind w:left="4" w:right="20" w:firstLine="987"/>
        <w:spacing w:after="0" w:line="257" w:lineRule="auto"/>
        <w:tabs>
          <w:tab w:leader="none" w:pos="1385"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color w:val="auto"/>
        </w:rPr>
        <w:t>Cash/Public Acquisition</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87" w:lineRule="exact"/>
        <w:rPr>
          <w:rFonts w:ascii="Arial" w:cs="Arial" w:eastAsia="Arial" w:hAnsi="Arial"/>
          <w:sz w:val="18"/>
          <w:szCs w:val="18"/>
          <w:color w:val="auto"/>
        </w:rPr>
      </w:pPr>
    </w:p>
    <w:p>
      <w:pPr>
        <w:ind w:left="4" w:firstLine="987"/>
        <w:spacing w:after="0" w:line="270" w:lineRule="auto"/>
        <w:tabs>
          <w:tab w:leader="none" w:pos="1372"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6" w:name="page7"/>
    <w:bookmarkEnd w:id="6"/>
    <w:p>
      <w:pPr>
        <w:jc w:val="both"/>
        <w:ind w:right="40" w:firstLine="987"/>
        <w:spacing w:after="0" w:line="279" w:lineRule="auto"/>
        <w:tabs>
          <w:tab w:leader="none" w:pos="1381" w:val="left"/>
        </w:tabs>
        <w:numPr>
          <w:ilvl w:val="0"/>
          <w:numId w:val="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7" w:lineRule="exact"/>
        <w:rPr>
          <w:rFonts w:ascii="Arial" w:cs="Arial" w:eastAsia="Arial" w:hAnsi="Arial"/>
          <w:sz w:val="17"/>
          <w:szCs w:val="17"/>
          <w:color w:val="auto"/>
        </w:rPr>
      </w:pPr>
    </w:p>
    <w:p>
      <w:pPr>
        <w:ind w:firstLine="987"/>
        <w:spacing w:after="0" w:line="291" w:lineRule="auto"/>
        <w:tabs>
          <w:tab w:leader="none" w:pos="1361"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379"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u w:val="single" w:color="auto"/>
          <w:color w:val="auto"/>
        </w:rPr>
        <w:t>ADJUSTMENTS TO THE SHARES AND WARRANT PRICE.</w:t>
      </w:r>
    </w:p>
    <w:p>
      <w:pPr>
        <w:spacing w:after="0" w:line="225"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w:t>
      </w:r>
    </w:p>
    <w:p>
      <w:pPr>
        <w:spacing w:after="0" w:line="23"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64"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2"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5"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No Fractional Share</w:t>
      </w:r>
      <w:r>
        <w:rPr>
          <w:rFonts w:ascii="Arial" w:cs="Arial" w:eastAsia="Arial" w:hAnsi="Arial"/>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7" w:name="page8"/>
    <w:bookmarkEnd w:id="7"/>
    <w:p>
      <w:pPr>
        <w:ind w:left="4" w:right="8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2.6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200" w:lineRule="exact"/>
        <w:rPr>
          <w:sz w:val="20"/>
          <w:szCs w:val="20"/>
          <w:color w:val="auto"/>
        </w:rPr>
      </w:pPr>
    </w:p>
    <w:p>
      <w:pPr>
        <w:spacing w:after="0" w:line="204" w:lineRule="exact"/>
        <w:rPr>
          <w:sz w:val="20"/>
          <w:szCs w:val="20"/>
          <w:color w:val="auto"/>
        </w:rPr>
      </w:pPr>
    </w:p>
    <w:p>
      <w:pPr>
        <w:jc w:val="center"/>
        <w:ind w:right="-63"/>
        <w:spacing w:after="0"/>
        <w:tabs>
          <w:tab w:leader="none" w:pos="1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REPRESENTATIONS AND COVENANTS OF THE COMPANY.</w:t>
      </w:r>
    </w:p>
    <w:p>
      <w:pPr>
        <w:spacing w:after="0" w:line="225" w:lineRule="exact"/>
        <w:rPr>
          <w:sz w:val="20"/>
          <w:szCs w:val="20"/>
          <w:color w:val="auto"/>
        </w:rPr>
      </w:pPr>
    </w:p>
    <w:p>
      <w:pPr>
        <w:ind w:left="984"/>
        <w:spacing w:after="0"/>
        <w:tabs>
          <w:tab w:leader="none" w:pos="138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225" w:lineRule="exact"/>
        <w:rPr>
          <w:sz w:val="20"/>
          <w:szCs w:val="20"/>
          <w:color w:val="auto"/>
        </w:rPr>
      </w:pPr>
    </w:p>
    <w:p>
      <w:pPr>
        <w:ind w:left="4" w:right="200" w:firstLine="987"/>
        <w:spacing w:after="0" w:line="291" w:lineRule="auto"/>
        <w:tabs>
          <w:tab w:leader="none" w:pos="1372"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initial Warrant Price referenced on the first page of this Warrant is not greater than the lower of (i) the average of the closing price of a share of Common Stock reported on the Trading Market for the 10 consecutive trading days ending immediately prior to the Issue Date and</w:t>
      </w:r>
    </w:p>
    <w:p>
      <w:pPr>
        <w:ind w:left="264" w:hanging="264"/>
        <w:spacing w:after="0"/>
        <w:tabs>
          <w:tab w:leader="none" w:pos="26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closing price of a share of Common Stock reported on the Trading Market for the trading day ending immediately prior to the Issue Date.</w:t>
      </w:r>
    </w:p>
    <w:p>
      <w:pPr>
        <w:spacing w:after="0" w:line="222" w:lineRule="exact"/>
        <w:rPr>
          <w:rFonts w:ascii="Arial" w:cs="Arial" w:eastAsia="Arial" w:hAnsi="Arial"/>
          <w:sz w:val="17"/>
          <w:szCs w:val="17"/>
          <w:color w:val="auto"/>
        </w:rPr>
      </w:pPr>
    </w:p>
    <w:p>
      <w:pPr>
        <w:ind w:left="4" w:right="40" w:firstLine="987"/>
        <w:spacing w:after="0" w:line="279" w:lineRule="auto"/>
        <w:tabs>
          <w:tab w:leader="none" w:pos="1375"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171" w:lineRule="exact"/>
        <w:rPr>
          <w:rFonts w:ascii="Arial" w:cs="Arial" w:eastAsia="Arial" w:hAnsi="Arial"/>
          <w:sz w:val="17"/>
          <w:szCs w:val="17"/>
          <w:color w:val="auto"/>
        </w:rPr>
      </w:pPr>
    </w:p>
    <w:p>
      <w:pPr>
        <w:ind w:left="1364" w:hanging="373"/>
        <w:spacing w:after="0"/>
        <w:tabs>
          <w:tab w:leader="none" w:pos="1364"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 Issue Date.</w:t>
      </w:r>
    </w:p>
    <w:p>
      <w:pPr>
        <w:spacing w:after="0" w:line="248" w:lineRule="exact"/>
        <w:rPr>
          <w:rFonts w:ascii="Arial" w:cs="Arial" w:eastAsia="Arial" w:hAnsi="Arial"/>
          <w:sz w:val="16"/>
          <w:szCs w:val="16"/>
          <w:color w:val="auto"/>
        </w:rPr>
      </w:pPr>
    </w:p>
    <w:p>
      <w:pPr>
        <w:ind w:left="984"/>
        <w:spacing w:after="0"/>
        <w:rPr>
          <w:rFonts w:ascii="Arial" w:cs="Arial" w:eastAsia="Arial" w:hAnsi="Arial"/>
          <w:sz w:val="16"/>
          <w:szCs w:val="16"/>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225" w:lineRule="exact"/>
        <w:rPr>
          <w:sz w:val="20"/>
          <w:szCs w:val="20"/>
          <w:color w:val="auto"/>
        </w:rPr>
      </w:pPr>
    </w:p>
    <w:p>
      <w:pPr>
        <w:ind w:left="4" w:right="180" w:firstLine="987"/>
        <w:spacing w:after="0" w:line="277" w:lineRule="auto"/>
        <w:tabs>
          <w:tab w:leader="none" w:pos="137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left="4" w:right="80" w:firstLine="987"/>
        <w:spacing w:after="0" w:line="277" w:lineRule="auto"/>
        <w:tabs>
          <w:tab w:leader="none" w:pos="1385" w:val="left"/>
        </w:tabs>
        <w:numPr>
          <w:ilvl w:val="0"/>
          <w:numId w:val="8"/>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1364" w:hanging="373"/>
        <w:spacing w:after="0"/>
        <w:tabs>
          <w:tab w:leader="none" w:pos="1364" w:val="left"/>
        </w:tabs>
        <w:numPr>
          <w:ilvl w:val="0"/>
          <w:numId w:val="8"/>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Class; or</w:t>
      </w:r>
    </w:p>
    <w:p>
      <w:pPr>
        <w:spacing w:after="0" w:line="210" w:lineRule="exact"/>
        <w:rPr>
          <w:rFonts w:ascii="Arial" w:cs="Arial" w:eastAsia="Arial" w:hAnsi="Arial"/>
          <w:sz w:val="16"/>
          <w:szCs w:val="16"/>
          <w:color w:val="auto"/>
        </w:rPr>
      </w:pPr>
    </w:p>
    <w:p>
      <w:pPr>
        <w:ind w:left="1384" w:hanging="393"/>
        <w:spacing w:after="0"/>
        <w:tabs>
          <w:tab w:leader="none" w:pos="1384" w:val="left"/>
        </w:tabs>
        <w:numPr>
          <w:ilvl w:val="0"/>
          <w:numId w:val="8"/>
        </w:numPr>
        <w:rPr>
          <w:rFonts w:ascii="Arial" w:cs="Arial" w:eastAsia="Arial" w:hAnsi="Arial"/>
          <w:sz w:val="16"/>
          <w:szCs w:val="16"/>
          <w:color w:val="auto"/>
        </w:rPr>
      </w:pPr>
      <w:r>
        <w:rPr>
          <w:rFonts w:ascii="Arial" w:cs="Arial" w:eastAsia="Arial" w:hAnsi="Arial"/>
          <w:sz w:val="16"/>
          <w:szCs w:val="16"/>
          <w:color w:val="auto"/>
        </w:rPr>
        <w:t>effect an Acquisition or to liquidate, dissolve or wind up; then, in connection with each such event, the Company shall give Holder:</w:t>
      </w:r>
    </w:p>
    <w:p>
      <w:pPr>
        <w:spacing w:after="0" w:line="248" w:lineRule="exact"/>
        <w:rPr>
          <w:rFonts w:ascii="Arial" w:cs="Arial" w:eastAsia="Arial" w:hAnsi="Arial"/>
          <w:sz w:val="16"/>
          <w:szCs w:val="16"/>
          <w:color w:val="auto"/>
        </w:rPr>
      </w:pPr>
    </w:p>
    <w:p>
      <w:pPr>
        <w:ind w:left="4" w:firstLine="1428"/>
        <w:spacing w:after="0" w:line="263" w:lineRule="auto"/>
        <w:tabs>
          <w:tab w:leader="none" w:pos="1826" w:val="left"/>
        </w:tabs>
        <w:numPr>
          <w:ilvl w:val="1"/>
          <w:numId w:val="8"/>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 and</w:t>
      </w:r>
    </w:p>
    <w:p>
      <w:pPr>
        <w:spacing w:after="0" w:line="183" w:lineRule="exact"/>
        <w:rPr>
          <w:rFonts w:ascii="Arial" w:cs="Arial" w:eastAsia="Arial" w:hAnsi="Arial"/>
          <w:sz w:val="18"/>
          <w:szCs w:val="18"/>
          <w:color w:val="auto"/>
        </w:rPr>
      </w:pPr>
    </w:p>
    <w:p>
      <w:pPr>
        <w:jc w:val="both"/>
        <w:ind w:left="4" w:right="20" w:firstLine="1428"/>
        <w:spacing w:after="0" w:line="263" w:lineRule="auto"/>
        <w:tabs>
          <w:tab w:leader="none" w:pos="1826"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w:t>
      </w:r>
    </w:p>
    <w:p>
      <w:pPr>
        <w:spacing w:after="0" w:line="184" w:lineRule="exact"/>
        <w:rPr>
          <w:sz w:val="20"/>
          <w:szCs w:val="20"/>
          <w:color w:val="auto"/>
        </w:rPr>
      </w:pPr>
    </w:p>
    <w:p>
      <w:pPr>
        <w:jc w:val="both"/>
        <w:ind w:left="4" w:right="80"/>
        <w:spacing w:after="0" w:line="286" w:lineRule="auto"/>
        <w:rPr>
          <w:sz w:val="20"/>
          <w:szCs w:val="20"/>
          <w:color w:val="auto"/>
        </w:rPr>
      </w:pPr>
      <w:r>
        <w:rPr>
          <w:rFonts w:ascii="Arial" w:cs="Arial" w:eastAsia="Arial" w:hAnsi="Arial"/>
          <w:sz w:val="17"/>
          <w:szCs w:val="17"/>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9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274" w:right="499" w:bottom="1440" w:gutter="0" w:footer="0" w:header="0"/>
        </w:sectPr>
      </w:pPr>
    </w:p>
    <w:bookmarkStart w:id="8" w:name="page9"/>
    <w:bookmarkEnd w:id="8"/>
    <w:p>
      <w:pPr>
        <w:ind w:left="2760"/>
        <w:spacing w:after="0"/>
        <w:tabs>
          <w:tab w:leader="none" w:pos="38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w:t>
      </w:r>
      <w:r>
        <w:rPr>
          <w:sz w:val="20"/>
          <w:szCs w:val="20"/>
          <w:color w:val="auto"/>
        </w:rPr>
        <w:tab/>
      </w:r>
      <w:r>
        <w:rPr>
          <w:rFonts w:ascii="Arial" w:cs="Arial" w:eastAsia="Arial" w:hAnsi="Arial"/>
          <w:sz w:val="17"/>
          <w:szCs w:val="17"/>
          <w:u w:val="single" w:color="auto"/>
          <w:color w:val="auto"/>
        </w:rPr>
        <w:t>REPRESENTATIONS, WARRANTIES OF THE HOLDER.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ind w:right="220" w:firstLine="991"/>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6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2" w:lineRule="exact"/>
        <w:rPr>
          <w:sz w:val="20"/>
          <w:szCs w:val="20"/>
          <w:color w:val="auto"/>
        </w:rPr>
      </w:pPr>
    </w:p>
    <w:p>
      <w:pPr>
        <w:ind w:right="180" w:firstLine="991"/>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is an “accredited investor” within the meaning of Regulation D promulgated under the Act.</w:t>
      </w:r>
    </w:p>
    <w:p>
      <w:pPr>
        <w:spacing w:after="0" w:line="225"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6" w:lineRule="exact"/>
        <w:rPr>
          <w:sz w:val="20"/>
          <w:szCs w:val="20"/>
          <w:color w:val="auto"/>
        </w:rPr>
      </w:pPr>
    </w:p>
    <w:p>
      <w:pPr>
        <w:jc w:val="center"/>
        <w:ind w:right="20"/>
        <w:spacing w:after="0"/>
        <w:tabs>
          <w:tab w:leader="none" w:pos="1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No Voting Rights</w:t>
      </w:r>
      <w:r>
        <w:rPr>
          <w:rFonts w:ascii="Arial" w:cs="Arial" w:eastAsia="Arial" w:hAnsi="Arial"/>
          <w:sz w:val="16"/>
          <w:szCs w:val="16"/>
          <w:color w:val="auto"/>
        </w:rPr>
        <w:t>. Holder, as a Holder of this Warrant, will not have any voting rights until the exercise of this Warrant.</w:t>
      </w:r>
    </w:p>
    <w:p>
      <w:pPr>
        <w:spacing w:after="0" w:line="200" w:lineRule="exact"/>
        <w:rPr>
          <w:sz w:val="20"/>
          <w:szCs w:val="20"/>
          <w:color w:val="auto"/>
        </w:rPr>
      </w:pPr>
    </w:p>
    <w:p>
      <w:pPr>
        <w:spacing w:after="0" w:line="241" w:lineRule="exact"/>
        <w:rPr>
          <w:sz w:val="20"/>
          <w:szCs w:val="20"/>
          <w:color w:val="auto"/>
        </w:rPr>
      </w:pPr>
    </w:p>
    <w:p>
      <w:pPr>
        <w:ind w:left="4140"/>
        <w:spacing w:after="0"/>
        <w:tabs>
          <w:tab w:leader="none" w:pos="530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u w:val="single" w:color="auto"/>
          <w:color w:val="auto"/>
        </w:rPr>
        <w:t>MISCELLANEOUS.</w:t>
      </w:r>
    </w:p>
    <w:p>
      <w:pPr>
        <w:spacing w:after="0" w:line="22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Term; Automatic Cashless Exercise Upon Expiration</w:t>
      </w:r>
      <w:r>
        <w:rPr>
          <w:rFonts w:ascii="Arial" w:cs="Arial" w:eastAsia="Arial" w:hAnsi="Arial"/>
          <w:sz w:val="16"/>
          <w:szCs w:val="16"/>
          <w:color w:val="auto"/>
        </w:rPr>
        <w:t>.</w:t>
      </w:r>
    </w:p>
    <w:p>
      <w:pPr>
        <w:spacing w:after="0" w:line="225" w:lineRule="exact"/>
        <w:rPr>
          <w:sz w:val="20"/>
          <w:szCs w:val="20"/>
          <w:color w:val="auto"/>
        </w:rPr>
      </w:pPr>
    </w:p>
    <w:p>
      <w:pPr>
        <w:ind w:right="40" w:firstLine="987"/>
        <w:spacing w:after="0" w:line="277" w:lineRule="auto"/>
        <w:tabs>
          <w:tab w:leader="none" w:pos="1371"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170" w:lineRule="exact"/>
        <w:rPr>
          <w:rFonts w:ascii="Arial" w:cs="Arial" w:eastAsia="Arial" w:hAnsi="Arial"/>
          <w:sz w:val="18"/>
          <w:szCs w:val="18"/>
          <w:color w:val="auto"/>
        </w:rPr>
      </w:pPr>
    </w:p>
    <w:p>
      <w:pPr>
        <w:ind w:right="140" w:firstLine="987"/>
        <w:spacing w:after="0" w:line="263" w:lineRule="auto"/>
        <w:tabs>
          <w:tab w:leader="none" w:pos="1381"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9" w:name="page10"/>
    <w:bookmarkEnd w:id="9"/>
    <w:p>
      <w:pPr>
        <w:ind w:left="4"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4" w:lineRule="exact"/>
        <w:rPr>
          <w:sz w:val="20"/>
          <w:szCs w:val="20"/>
          <w:color w:val="auto"/>
        </w:rPr>
      </w:pPr>
    </w:p>
    <w:p>
      <w:pPr>
        <w:ind w:left="4" w:right="140" w:firstLine="991"/>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Each certificate evidencing Shares (and each certificate evidencing the securities issued upon conversion of any Shares, if any) shall be imprinted with a legend in substantially the following form:</w:t>
      </w:r>
    </w:p>
    <w:p>
      <w:pPr>
        <w:spacing w:after="0" w:line="170" w:lineRule="exact"/>
        <w:rPr>
          <w:sz w:val="20"/>
          <w:szCs w:val="20"/>
          <w:color w:val="auto"/>
        </w:rPr>
      </w:pPr>
    </w:p>
    <w:p>
      <w:pPr>
        <w:ind w:left="984" w:right="1980"/>
        <w:spacing w:after="0" w:line="271" w:lineRule="auto"/>
        <w:rPr>
          <w:sz w:val="20"/>
          <w:szCs w:val="20"/>
          <w:color w:val="auto"/>
        </w:rPr>
      </w:pPr>
      <w:r>
        <w:rPr>
          <w:rFonts w:ascii="Arial" w:cs="Arial" w:eastAsia="Arial" w:hAnsi="Arial"/>
          <w:sz w:val="17"/>
          <w:szCs w:val="17"/>
          <w:color w:val="auto"/>
        </w:rPr>
        <w:t>THE SHARES EVIDENCED BY THIS CERTIFICATE HAVE NOT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THE SECURITIES LAWS OF ANY STATE AND, EXCEPT AS SET FORTH IN THAT CERTAIN WARRANT TO PURCHASE STOCK ISSUED</w:t>
      </w:r>
    </w:p>
    <w:p>
      <w:pPr>
        <w:ind w:left="984"/>
        <w:spacing w:after="0"/>
        <w:tabs>
          <w:tab w:leader="none" w:pos="6424" w:val="left"/>
        </w:tabs>
        <w:rPr>
          <w:sz w:val="20"/>
          <w:szCs w:val="20"/>
          <w:color w:val="auto"/>
        </w:rPr>
      </w:pPr>
      <w:r>
        <w:rPr>
          <w:rFonts w:ascii="Arial" w:cs="Arial" w:eastAsia="Arial" w:hAnsi="Arial"/>
          <w:sz w:val="18"/>
          <w:szCs w:val="18"/>
          <w:color w:val="auto"/>
        </w:rPr>
        <w:t>BY THE ISSUER TO SILICON VALLEY BANK DATED [</w:t>
      </w:r>
      <w:r>
        <w:rPr>
          <w:sz w:val="20"/>
          <w:szCs w:val="20"/>
          <w:color w:val="auto"/>
        </w:rPr>
        <w:tab/>
      </w:r>
      <w:r>
        <w:rPr>
          <w:rFonts w:ascii="Arial" w:cs="Arial" w:eastAsia="Arial" w:hAnsi="Arial"/>
          <w:sz w:val="17"/>
          <w:szCs w:val="17"/>
          <w:color w:val="auto"/>
        </w:rPr>
        <w:t>], MAY NOT BE OFFERED,</w:t>
      </w:r>
    </w:p>
    <w:p>
      <w:pPr>
        <w:spacing w:after="0" w:line="9" w:lineRule="exact"/>
        <w:rPr>
          <w:sz w:val="20"/>
          <w:szCs w:val="20"/>
          <w:color w:val="auto"/>
        </w:rPr>
      </w:pPr>
    </w:p>
    <w:p>
      <w:pPr>
        <w:ind w:left="984" w:right="2000"/>
        <w:spacing w:after="0" w:line="253" w:lineRule="auto"/>
        <w:rPr>
          <w:sz w:val="20"/>
          <w:szCs w:val="20"/>
          <w:color w:val="auto"/>
        </w:rPr>
      </w:pPr>
      <w:r>
        <w:rPr>
          <w:rFonts w:ascii="Arial" w:cs="Arial" w:eastAsia="Arial" w:hAnsi="Arial"/>
          <w:sz w:val="18"/>
          <w:szCs w:val="18"/>
          <w:color w:val="auto"/>
        </w:rPr>
        <w:t>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93" w:lineRule="exact"/>
        <w:rPr>
          <w:sz w:val="20"/>
          <w:szCs w:val="20"/>
          <w:color w:val="auto"/>
        </w:rPr>
      </w:pPr>
    </w:p>
    <w:p>
      <w:pPr>
        <w:ind w:left="4" w:right="160" w:firstLine="991"/>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Compliance with Securities Laws on Transfer</w:t>
      </w:r>
      <w:r>
        <w:rPr>
          <w:rFonts w:ascii="Arial" w:cs="Arial" w:eastAsia="Arial" w:hAnsi="Arial"/>
          <w:sz w:val="16"/>
          <w:szCs w:val="16"/>
          <w:color w:val="auto"/>
        </w:rPr>
        <w:t>. This Warrant and the Shares issued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66" w:lineRule="exact"/>
        <w:rPr>
          <w:sz w:val="20"/>
          <w:szCs w:val="20"/>
          <w:color w:val="auto"/>
        </w:rPr>
      </w:pPr>
    </w:p>
    <w:p>
      <w:pPr>
        <w:ind w:left="4" w:firstLine="991"/>
        <w:spacing w:after="0" w:line="26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Transfer Procedure</w:t>
      </w:r>
      <w:r>
        <w:rPr>
          <w:rFonts w:ascii="Arial" w:cs="Arial" w:eastAsia="Arial" w:hAnsi="Arial"/>
          <w:sz w:val="17"/>
          <w:szCs w:val="17"/>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86" w:lineRule="exact"/>
        <w:rPr>
          <w:sz w:val="20"/>
          <w:szCs w:val="20"/>
          <w:color w:val="auto"/>
        </w:rPr>
      </w:pPr>
    </w:p>
    <w:p>
      <w:pPr>
        <w:ind w:left="4" w:right="20" w:firstLine="991"/>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w:t>
      </w:r>
    </w:p>
    <w:p>
      <w:pPr>
        <w:jc w:val="both"/>
        <w:ind w:left="4" w:hanging="4"/>
        <w:spacing w:after="0" w:line="255" w:lineRule="auto"/>
        <w:tabs>
          <w:tab w:leader="none" w:pos="3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Holder from time to time in accordance with the provisions of this Section 5.5. All notices to Holder shall be addressed as follows until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receives notice of a change of address in connection with a transfer or otherwise:</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3003 Tasman Drive, HA 200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Santa Clara, CA 95054</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89BIO,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142 Sansome Street, 2nd Floor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Ryan Martins, CFO</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GIBSON, DUNN &amp; CRUTCHER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555 Mission Street, Suite 3000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Ryan Murr</w:t>
      </w:r>
    </w:p>
    <w:p>
      <w:pPr>
        <w:spacing w:after="0" w:line="211" w:lineRule="exact"/>
        <w:rPr>
          <w:sz w:val="20"/>
          <w:szCs w:val="20"/>
          <w:color w:val="auto"/>
        </w:rPr>
      </w:pPr>
    </w:p>
    <w:p>
      <w:pPr>
        <w:jc w:val="both"/>
        <w:ind w:right="380" w:firstLine="991"/>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4" w:lineRule="exact"/>
        <w:rPr>
          <w:sz w:val="20"/>
          <w:szCs w:val="20"/>
          <w:color w:val="auto"/>
        </w:rPr>
      </w:pPr>
    </w:p>
    <w:p>
      <w:pPr>
        <w:ind w:right="500" w:firstLine="991"/>
        <w:spacing w:after="0" w:line="34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24"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4"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jc w:val="center"/>
        <w:ind w:right="-279"/>
        <w:spacing w:after="0"/>
        <w:tabs>
          <w:tab w:leader="none" w:pos="16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Business Days</w:t>
      </w:r>
      <w:r>
        <w:rPr>
          <w:rFonts w:ascii="Arial" w:cs="Arial" w:eastAsia="Arial" w:hAnsi="Arial"/>
          <w:sz w:val="16"/>
          <w:szCs w:val="16"/>
          <w:color w:val="auto"/>
        </w:rPr>
        <w:t>. “</w:t>
      </w:r>
      <w:r>
        <w:rPr>
          <w:rFonts w:ascii="Arial" w:cs="Arial" w:eastAsia="Arial" w:hAnsi="Arial"/>
          <w:sz w:val="16"/>
          <w:szCs w:val="16"/>
          <w:b w:val="1"/>
          <w:bCs w:val="1"/>
          <w:color w:val="auto"/>
        </w:rPr>
        <w:t>Business Day</w:t>
      </w:r>
      <w:r>
        <w:rPr>
          <w:rFonts w:ascii="Arial" w:cs="Arial" w:eastAsia="Arial" w:hAnsi="Arial"/>
          <w:sz w:val="16"/>
          <w:szCs w:val="16"/>
          <w:color w:val="auto"/>
        </w:rPr>
        <w:t>” is any day that is not a Saturday, Sunday or a day on which Silicon Valley Bank is closed.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left blank intentionally]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1" w:name="page12"/>
    <w:bookmarkEnd w:id="1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89BIO,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Rohan Palekar</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SILICON VALLEY BANK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Shawn Parry</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Warrant to Purchase Stock</w:t>
      </w:r>
      <w:r>
        <w:rPr>
          <w:rFonts w:ascii="Arial" w:cs="Arial" w:eastAsia="Arial" w:hAnsi="Arial"/>
          <w:sz w:val="18"/>
          <w:szCs w:val="18"/>
          <w:b w:val="1"/>
          <w:bCs w:val="1"/>
          <w:color w:val="auto"/>
        </w:rPr>
        <w:t>]</w:t>
      </w:r>
    </w:p>
    <w:p>
      <w:pPr>
        <w:sectPr>
          <w:pgSz w:w="11900" w:h="16838" w:orient="portrait"/>
          <w:cols w:equalWidth="0" w:num="1">
            <w:col w:w="11020"/>
          </w:cols>
          <w:pgMar w:left="440" w:top="274" w:right="4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980" w:type="dxa"/>
            <w:vAlign w:val="bottom"/>
            <w:gridSpan w:val="4"/>
          </w:tcPr>
          <w:p>
            <w:pPr>
              <w:jc w:val="center"/>
              <w:ind w:right="4120"/>
              <w:spacing w:after="0"/>
              <w:rPr>
                <w:sz w:val="20"/>
                <w:szCs w:val="20"/>
                <w:color w:val="auto"/>
              </w:rPr>
            </w:pPr>
            <w:r>
              <w:rPr>
                <w:rFonts w:ascii="Arial" w:cs="Arial" w:eastAsia="Arial" w:hAnsi="Arial"/>
                <w:sz w:val="18"/>
                <w:szCs w:val="18"/>
                <w:color w:val="auto"/>
                <w:w w:val="96"/>
              </w:rPr>
              <w:t>APPENDIX 1</w:t>
            </w:r>
          </w:p>
        </w:tc>
      </w:tr>
      <w:tr>
        <w:trPr>
          <w:trHeight w:val="392"/>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980" w:type="dxa"/>
            <w:vAlign w:val="bottom"/>
            <w:gridSpan w:val="4"/>
          </w:tcPr>
          <w:p>
            <w:pPr>
              <w:jc w:val="center"/>
              <w:ind w:right="4140"/>
              <w:spacing w:after="0"/>
              <w:rPr>
                <w:sz w:val="20"/>
                <w:szCs w:val="20"/>
                <w:color w:val="auto"/>
              </w:rPr>
            </w:pPr>
            <w:r>
              <w:rPr>
                <w:rFonts w:ascii="Arial" w:cs="Arial" w:eastAsia="Arial" w:hAnsi="Arial"/>
                <w:sz w:val="18"/>
                <w:szCs w:val="18"/>
                <w:color w:val="auto"/>
                <w:w w:val="94"/>
              </w:rPr>
              <w:t>NOTICE OF EXERCISE</w:t>
            </w:r>
          </w:p>
        </w:tc>
      </w:tr>
      <w:tr>
        <w:trPr>
          <w:trHeight w:val="20"/>
        </w:trPr>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412"/>
        </w:trPr>
        <w:tc>
          <w:tcPr>
            <w:tcW w:w="620" w:type="dxa"/>
            <w:vAlign w:val="bottom"/>
          </w:tcPr>
          <w:p>
            <w:pPr>
              <w:ind w:left="4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4320" w:type="dxa"/>
            <w:vAlign w:val="bottom"/>
            <w:gridSpan w:val="4"/>
          </w:tcPr>
          <w:p>
            <w:pPr>
              <w:spacing w:after="0"/>
              <w:rPr>
                <w:sz w:val="20"/>
                <w:szCs w:val="20"/>
                <w:color w:val="auto"/>
              </w:rPr>
            </w:pPr>
            <w:r>
              <w:rPr>
                <w:rFonts w:ascii="Arial" w:cs="Arial" w:eastAsia="Arial" w:hAnsi="Arial"/>
                <w:sz w:val="18"/>
                <w:szCs w:val="18"/>
                <w:color w:val="auto"/>
                <w:w w:val="90"/>
              </w:rPr>
              <w:t>The undersigned Holder hereby exercises its right purchase</w:t>
            </w:r>
          </w:p>
        </w:tc>
        <w:tc>
          <w:tcPr>
            <w:tcW w:w="720" w:type="dxa"/>
            <w:vAlign w:val="bottom"/>
            <w:tcBorders>
              <w:bottom w:val="single" w:sz="8" w:color="auto"/>
            </w:tcBorders>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92"/>
              </w:rPr>
              <w:t>shares of the Common Stock of 89BIO, INC. (the “</w:t>
            </w:r>
            <w:r>
              <w:rPr>
                <w:rFonts w:ascii="Arial" w:cs="Arial" w:eastAsia="Arial" w:hAnsi="Arial"/>
                <w:sz w:val="18"/>
                <w:szCs w:val="18"/>
                <w:b w:val="1"/>
                <w:bCs w:val="1"/>
                <w:color w:val="auto"/>
                <w:w w:val="92"/>
              </w:rPr>
              <w:t>Company</w:t>
            </w:r>
            <w:r>
              <w:rPr>
                <w:rFonts w:ascii="Arial" w:cs="Arial" w:eastAsia="Arial" w:hAnsi="Arial"/>
                <w:sz w:val="18"/>
                <w:szCs w:val="18"/>
                <w:color w:val="auto"/>
                <w:w w:val="92"/>
              </w:rPr>
              <w:t>”) in</w:t>
            </w:r>
          </w:p>
        </w:tc>
      </w:tr>
      <w:tr>
        <w:trPr>
          <w:trHeight w:val="237"/>
        </w:trPr>
        <w:tc>
          <w:tcPr>
            <w:tcW w:w="10560" w:type="dxa"/>
            <w:vAlign w:val="bottom"/>
            <w:gridSpan w:val="9"/>
          </w:tcPr>
          <w:p>
            <w:pPr>
              <w:spacing w:after="0"/>
              <w:rPr>
                <w:sz w:val="20"/>
                <w:szCs w:val="20"/>
                <w:color w:val="auto"/>
              </w:rPr>
            </w:pPr>
            <w:r>
              <w:rPr>
                <w:rFonts w:ascii="Arial" w:cs="Arial" w:eastAsia="Arial" w:hAnsi="Arial"/>
                <w:sz w:val="18"/>
                <w:szCs w:val="18"/>
                <w:color w:val="auto"/>
                <w:w w:val="95"/>
              </w:rPr>
              <w:t>accordance with the attached Warrant To Purchase Stock, and tenders payment of the aggregate Warrant Price for such shares as follows:</w:t>
            </w:r>
          </w:p>
        </w:tc>
      </w:tr>
      <w:tr>
        <w:trPr>
          <w:trHeight w:val="297"/>
        </w:trPr>
        <w:tc>
          <w:tcPr>
            <w:tcW w:w="620" w:type="dxa"/>
            <w:vAlign w:val="bottom"/>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ind w:left="220"/>
              <w:spacing w:after="0"/>
              <w:rPr>
                <w:sz w:val="20"/>
                <w:szCs w:val="20"/>
                <w:color w:val="auto"/>
              </w:rPr>
            </w:pPr>
            <w:r>
              <w:rPr>
                <w:rFonts w:ascii="Arial" w:cs="Arial" w:eastAsia="Arial" w:hAnsi="Arial"/>
                <w:sz w:val="18"/>
                <w:szCs w:val="18"/>
                <w:color w:val="auto"/>
                <w:w w:val="90"/>
              </w:rPr>
              <w:t>check in the amount of $</w:t>
            </w:r>
          </w:p>
        </w:tc>
        <w:tc>
          <w:tcPr>
            <w:tcW w:w="540" w:type="dxa"/>
            <w:vAlign w:val="bottom"/>
            <w:tcBorders>
              <w:bottom w:val="single" w:sz="8" w:color="auto"/>
            </w:tcBorders>
          </w:tcPr>
          <w:p>
            <w:pPr>
              <w:spacing w:after="0"/>
              <w:rPr>
                <w:sz w:val="24"/>
                <w:szCs w:val="24"/>
                <w:color w:val="auto"/>
              </w:rPr>
            </w:pPr>
          </w:p>
        </w:tc>
        <w:tc>
          <w:tcPr>
            <w:tcW w:w="7260" w:type="dxa"/>
            <w:vAlign w:val="bottom"/>
            <w:gridSpan w:val="5"/>
          </w:tcPr>
          <w:p>
            <w:pPr>
              <w:ind w:left="40"/>
              <w:spacing w:after="0"/>
              <w:rPr>
                <w:sz w:val="20"/>
                <w:szCs w:val="20"/>
                <w:color w:val="auto"/>
              </w:rPr>
            </w:pPr>
            <w:r>
              <w:rPr>
                <w:rFonts w:ascii="Arial" w:cs="Arial" w:eastAsia="Arial" w:hAnsi="Arial"/>
                <w:sz w:val="18"/>
                <w:szCs w:val="18"/>
                <w:color w:val="auto"/>
              </w:rPr>
              <w:t>payable to order of the Company enclosed herewith</w:t>
            </w:r>
          </w:p>
        </w:tc>
      </w:tr>
      <w:tr>
        <w:trPr>
          <w:trHeight w:val="358"/>
        </w:trPr>
        <w:tc>
          <w:tcPr>
            <w:tcW w:w="620" w:type="dxa"/>
            <w:vAlign w:val="bottom"/>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9820" w:type="dxa"/>
            <w:vAlign w:val="bottom"/>
            <w:gridSpan w:val="7"/>
          </w:tcPr>
          <w:p>
            <w:pPr>
              <w:ind w:left="220"/>
              <w:spacing w:after="0"/>
              <w:rPr>
                <w:sz w:val="20"/>
                <w:szCs w:val="20"/>
                <w:color w:val="auto"/>
              </w:rPr>
            </w:pPr>
            <w:r>
              <w:rPr>
                <w:rFonts w:ascii="Arial" w:cs="Arial" w:eastAsia="Arial" w:hAnsi="Arial"/>
                <w:sz w:val="18"/>
                <w:szCs w:val="18"/>
                <w:color w:val="auto"/>
              </w:rPr>
              <w:t>Wire transfer of immediately available funds to the Company’s account</w:t>
            </w:r>
          </w:p>
        </w:tc>
      </w:tr>
      <w:tr>
        <w:trPr>
          <w:trHeight w:val="338"/>
        </w:trPr>
        <w:tc>
          <w:tcPr>
            <w:tcW w:w="620" w:type="dxa"/>
            <w:vAlign w:val="bottom"/>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4320" w:type="dxa"/>
            <w:vAlign w:val="bottom"/>
            <w:gridSpan w:val="4"/>
          </w:tcPr>
          <w:p>
            <w:pPr>
              <w:ind w:left="220"/>
              <w:spacing w:after="0"/>
              <w:rPr>
                <w:sz w:val="20"/>
                <w:szCs w:val="20"/>
                <w:color w:val="auto"/>
              </w:rPr>
            </w:pPr>
            <w:r>
              <w:rPr>
                <w:rFonts w:ascii="Arial" w:cs="Arial" w:eastAsia="Arial" w:hAnsi="Arial"/>
                <w:sz w:val="18"/>
                <w:szCs w:val="18"/>
                <w:color w:val="auto"/>
                <w:w w:val="89"/>
              </w:rPr>
              <w:t>Cashless Exercise pursuant to Section 1.2 of the Warrant</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40" w:type="dxa"/>
            <w:vAlign w:val="bottom"/>
          </w:tcPr>
          <w:p>
            <w:pPr>
              <w:spacing w:after="0"/>
              <w:rPr>
                <w:sz w:val="24"/>
                <w:szCs w:val="24"/>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660" w:hanging="23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Other [Describe]</w:t>
      </w:r>
    </w:p>
    <w:p>
      <w:pPr>
        <w:spacing w:after="0" w:line="225" w:lineRule="exact"/>
        <w:rPr>
          <w:rFonts w:ascii="Arial" w:cs="Arial" w:eastAsia="Arial" w:hAnsi="Arial"/>
          <w:sz w:val="18"/>
          <w:szCs w:val="18"/>
          <w:color w:val="auto"/>
        </w:rPr>
      </w:pPr>
    </w:p>
    <w:p>
      <w:pPr>
        <w:ind w:left="760" w:hanging="324"/>
        <w:spacing w:after="0"/>
        <w:tabs>
          <w:tab w:leader="none" w:pos="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-284480</wp:posOffset>
            </wp:positionV>
            <wp:extent cx="27990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908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580390</wp:posOffset>
            </wp:positionV>
            <wp:extent cx="27946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firstLine="436"/>
        <w:spacing w:after="0" w:line="277" w:lineRule="auto"/>
        <w:tabs>
          <w:tab w:leader="none" w:pos="7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14605</wp:posOffset>
            </wp:positionV>
            <wp:extent cx="24860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14605</wp:posOffset>
            </wp:positionV>
            <wp:extent cx="24860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Appendix 1</w:t>
      </w:r>
    </w:p>
    <w:p>
      <w:pPr>
        <w:sectPr>
          <w:pgSz w:w="11900" w:h="16838" w:orient="portrait"/>
          <w:cols w:equalWidth="0" w:num="1">
            <w:col w:w="10840"/>
          </w:cols>
          <w:pgMar w:left="440" w:top="274" w:right="61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 xml:space="preserve">THIS LOAN AND SECURITY AGREEMENT </w:t>
      </w:r>
      <w:r>
        <w:rPr>
          <w:rFonts w:ascii="Arial" w:cs="Arial" w:eastAsia="Arial" w:hAnsi="Arial"/>
          <w:sz w:val="17"/>
          <w:szCs w:val="17"/>
          <w:color w:val="auto"/>
        </w:rPr>
        <w:t>(as the same may from time to time be amended, modified, supplemented or restated, this</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dated as of April 7, 2020 (the “</w:t>
      </w:r>
      <w:r>
        <w:rPr>
          <w:rFonts w:ascii="Arial" w:cs="Arial" w:eastAsia="Arial" w:hAnsi="Arial"/>
          <w:sz w:val="17"/>
          <w:szCs w:val="17"/>
          <w:b w:val="1"/>
          <w:bCs w:val="1"/>
          <w:color w:val="auto"/>
        </w:rPr>
        <w:t>Effective Date</w:t>
      </w:r>
      <w:r>
        <w:rPr>
          <w:rFonts w:ascii="Arial" w:cs="Arial" w:eastAsia="Arial" w:hAnsi="Arial"/>
          <w:sz w:val="17"/>
          <w:szCs w:val="17"/>
          <w:color w:val="auto"/>
        </w:rPr>
        <w:t>”) among SILICON VALLEY BANK, a California corporation with an office located at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3003 Tasman Drive, Santa Clara, CA 95054 (“</w:t>
      </w:r>
      <w:r>
        <w:rPr>
          <w:rFonts w:ascii="Arial" w:cs="Arial" w:eastAsia="Arial" w:hAnsi="Arial"/>
          <w:sz w:val="17"/>
          <w:szCs w:val="17"/>
          <w:b w:val="1"/>
          <w:bCs w:val="1"/>
          <w:color w:val="auto"/>
        </w:rPr>
        <w:t>Bank</w:t>
      </w:r>
      <w:r>
        <w:rPr>
          <w:rFonts w:ascii="Arial" w:cs="Arial" w:eastAsia="Arial" w:hAnsi="Arial"/>
          <w:sz w:val="17"/>
          <w:szCs w:val="17"/>
          <w:color w:val="auto"/>
        </w:rPr>
        <w:t>” or “</w:t>
      </w:r>
      <w:r>
        <w:rPr>
          <w:rFonts w:ascii="Arial" w:cs="Arial" w:eastAsia="Arial" w:hAnsi="Arial"/>
          <w:sz w:val="17"/>
          <w:szCs w:val="17"/>
          <w:b w:val="1"/>
          <w:bCs w:val="1"/>
          <w:color w:val="auto"/>
        </w:rPr>
        <w:t>SVB</w:t>
      </w:r>
      <w:r>
        <w:rPr>
          <w:rFonts w:ascii="Arial" w:cs="Arial" w:eastAsia="Arial" w:hAnsi="Arial"/>
          <w:sz w:val="17"/>
          <w:szCs w:val="17"/>
          <w:color w:val="auto"/>
        </w:rPr>
        <w:t>”), as collateral agent (in such capacity, “</w:t>
      </w:r>
      <w:r>
        <w:rPr>
          <w:rFonts w:ascii="Arial" w:cs="Arial" w:eastAsia="Arial" w:hAnsi="Arial"/>
          <w:sz w:val="17"/>
          <w:szCs w:val="17"/>
          <w:b w:val="1"/>
          <w:bCs w:val="1"/>
          <w:color w:val="auto"/>
        </w:rPr>
        <w:t>Collateral Agent</w:t>
      </w:r>
      <w:r>
        <w:rPr>
          <w:rFonts w:ascii="Arial" w:cs="Arial" w:eastAsia="Arial" w:hAnsi="Arial"/>
          <w:sz w:val="17"/>
          <w:szCs w:val="17"/>
          <w:color w:val="auto"/>
        </w:rPr>
        <w:t>”), the Lenders listed on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hereof or otherwise a party hereto from time to time, including SVB in its capacity as a Lender (each a “</w:t>
      </w:r>
      <w:r>
        <w:rPr>
          <w:rFonts w:ascii="Arial" w:cs="Arial" w:eastAsia="Arial" w:hAnsi="Arial"/>
          <w:sz w:val="17"/>
          <w:szCs w:val="17"/>
          <w:b w:val="1"/>
          <w:bCs w:val="1"/>
          <w:color w:val="auto"/>
        </w:rPr>
        <w:t>Lender</w:t>
      </w:r>
      <w:r>
        <w:rPr>
          <w:rFonts w:ascii="Arial" w:cs="Arial" w:eastAsia="Arial" w:hAnsi="Arial"/>
          <w:sz w:val="17"/>
          <w:szCs w:val="17"/>
          <w:color w:val="auto"/>
        </w:rPr>
        <w:t>” and collectively,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Lenders</w:t>
      </w:r>
      <w:r>
        <w:rPr>
          <w:rFonts w:ascii="Arial" w:cs="Arial" w:eastAsia="Arial" w:hAnsi="Arial"/>
          <w:sz w:val="17"/>
          <w:szCs w:val="17"/>
          <w:color w:val="auto"/>
        </w:rPr>
        <w:t>”), and 89BIO, INC., a Delaware corporation with offices located at 142 Sansome Street, 2nd Floor, San Francisco, CA 94104 (“</w:t>
      </w:r>
      <w:r>
        <w:rPr>
          <w:rFonts w:ascii="Arial" w:cs="Arial" w:eastAsia="Arial" w:hAnsi="Arial"/>
          <w:sz w:val="17"/>
          <w:szCs w:val="17"/>
          <w:b w:val="1"/>
          <w:bCs w:val="1"/>
          <w:color w:val="auto"/>
        </w:rPr>
        <w:t>89Bio</w:t>
      </w:r>
      <w:r>
        <w:rPr>
          <w:rFonts w:ascii="Arial" w:cs="Arial" w:eastAsia="Arial" w:hAnsi="Arial"/>
          <w:sz w:val="17"/>
          <w:szCs w:val="17"/>
          <w:color w:val="auto"/>
        </w:rPr>
        <w: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89BIO MANAGEMENT, INC., a Delaware corporation with offices located at 142 Sansome Street, 2nd Floor, San Francisco, CA 94104 (“</w:t>
      </w:r>
      <w:r>
        <w:rPr>
          <w:rFonts w:ascii="Arial" w:cs="Arial" w:eastAsia="Arial" w:hAnsi="Arial"/>
          <w:sz w:val="17"/>
          <w:szCs w:val="17"/>
          <w:b w:val="1"/>
          <w:bCs w:val="1"/>
          <w:color w:val="auto"/>
        </w:rPr>
        <w:t>89Bio</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Management</w:t>
      </w:r>
      <w:r>
        <w:rPr>
          <w:rFonts w:ascii="Arial" w:cs="Arial" w:eastAsia="Arial" w:hAnsi="Arial"/>
          <w:sz w:val="17"/>
          <w:szCs w:val="17"/>
          <w:color w:val="auto"/>
        </w:rPr>
        <w:t>”), and 89BIO LTD, an Israeli company with offices located at 6 Hamada Street, Herzliya, Israel 4673340 (“</w:t>
      </w:r>
      <w:r>
        <w:rPr>
          <w:rFonts w:ascii="Arial" w:cs="Arial" w:eastAsia="Arial" w:hAnsi="Arial"/>
          <w:sz w:val="17"/>
          <w:szCs w:val="17"/>
          <w:b w:val="1"/>
          <w:bCs w:val="1"/>
          <w:color w:val="auto"/>
        </w:rPr>
        <w:t>89Bio Israel</w:t>
      </w:r>
      <w:r>
        <w:rPr>
          <w:rFonts w:ascii="Arial" w:cs="Arial" w:eastAsia="Arial" w:hAnsi="Arial"/>
          <w:sz w:val="17"/>
          <w:szCs w:val="17"/>
          <w:color w:val="auto"/>
        </w:rPr>
        <w:t>” or “</w:t>
      </w:r>
      <w:r>
        <w:rPr>
          <w:rFonts w:ascii="Arial" w:cs="Arial" w:eastAsia="Arial" w:hAnsi="Arial"/>
          <w:sz w:val="17"/>
          <w:szCs w:val="17"/>
          <w:b w:val="1"/>
          <w:bCs w:val="1"/>
          <w:color w:val="auto"/>
        </w:rPr>
        <w:t>ISR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Borrower</w:t>
      </w:r>
      <w:r>
        <w:rPr>
          <w:rFonts w:ascii="Arial" w:cs="Arial" w:eastAsia="Arial" w:hAnsi="Arial"/>
          <w:sz w:val="17"/>
          <w:szCs w:val="17"/>
          <w:color w:val="auto"/>
        </w:rPr>
        <w:t>”) (89Bio, 89Bio Management, and 89Bio Israel, individually and collectively, jointly and severally, “</w:t>
      </w:r>
      <w:r>
        <w:rPr>
          <w:rFonts w:ascii="Arial" w:cs="Arial" w:eastAsia="Arial" w:hAnsi="Arial"/>
          <w:sz w:val="17"/>
          <w:szCs w:val="17"/>
          <w:b w:val="1"/>
          <w:bCs w:val="1"/>
          <w:color w:val="auto"/>
        </w:rPr>
        <w:t>Borrower</w:t>
      </w:r>
      <w:r>
        <w:rPr>
          <w:rFonts w:ascii="Arial" w:cs="Arial" w:eastAsia="Arial" w:hAnsi="Arial"/>
          <w:sz w:val="17"/>
          <w:szCs w:val="17"/>
          <w:color w:val="auto"/>
        </w:rPr>
        <w:t>”), provides the terms on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which the Lenders shall lend to Borrower and Borrower shall repay the Lenders. The parties agree as follows:</w:t>
      </w:r>
    </w:p>
    <w:p>
      <w:pPr>
        <w:spacing w:after="0" w:line="234"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117" w:lineRule="exact"/>
        <w:rPr>
          <w:sz w:val="20"/>
          <w:szCs w:val="20"/>
          <w:color w:val="auto"/>
        </w:rPr>
      </w:pPr>
    </w:p>
    <w:p>
      <w:pPr>
        <w:ind w:left="4" w:right="120" w:firstLine="440"/>
        <w:spacing w:after="0" w:line="261"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Accounting terms not defined in this Agreement shall be construed in accordance with GAAP. Calculations and determinations must be made</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GAAP. Capitalized terms not otherwise defined in this Agreement shall have the meanings set forth in Section 13. All other terms contained in this Agreement, unless otherwise indicated, shall have the meaning provided by the Code to the extent such terms are defined therein. All references to “</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are United States Dollars, unless otherwise noted.</w:t>
      </w:r>
    </w:p>
    <w:p>
      <w:pPr>
        <w:spacing w:after="0" w:line="207"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AND TERMS OF PAYMENT</w:t>
      </w:r>
    </w:p>
    <w:p>
      <w:pPr>
        <w:spacing w:after="0" w:line="117" w:lineRule="exact"/>
        <w:rPr>
          <w:sz w:val="20"/>
          <w:szCs w:val="20"/>
          <w:color w:val="auto"/>
        </w:rPr>
      </w:pPr>
    </w:p>
    <w:p>
      <w:pPr>
        <w:ind w:left="4" w:right="60" w:firstLine="440"/>
        <w:spacing w:after="0" w:line="266" w:lineRule="auto"/>
        <w:rPr>
          <w:sz w:val="20"/>
          <w:szCs w:val="20"/>
          <w:color w:val="auto"/>
        </w:rPr>
      </w:pPr>
      <w:r>
        <w:rPr>
          <w:rFonts w:ascii="Arial" w:cs="Arial" w:eastAsia="Arial" w:hAnsi="Arial"/>
          <w:sz w:val="18"/>
          <w:szCs w:val="18"/>
          <w:b w:val="1"/>
          <w:bCs w:val="1"/>
          <w:color w:val="auto"/>
        </w:rPr>
        <w:t xml:space="preserve">2.1 Promise to Pay. </w:t>
      </w:r>
      <w:r>
        <w:rPr>
          <w:rFonts w:ascii="Arial" w:cs="Arial" w:eastAsia="Arial" w:hAnsi="Arial"/>
          <w:sz w:val="18"/>
          <w:szCs w:val="18"/>
          <w:color w:val="auto"/>
        </w:rPr>
        <w:t>Borrower hereby unconditionally promises to pay each Lender, the outstanding principal amount of all Term Loans advanced</w:t>
      </w:r>
      <w:r>
        <w:rPr>
          <w:rFonts w:ascii="Arial" w:cs="Arial" w:eastAsia="Arial" w:hAnsi="Arial"/>
          <w:sz w:val="18"/>
          <w:szCs w:val="18"/>
          <w:b w:val="1"/>
          <w:bCs w:val="1"/>
          <w:color w:val="auto"/>
        </w:rPr>
        <w:t xml:space="preserve"> </w:t>
      </w:r>
      <w:r>
        <w:rPr>
          <w:rFonts w:ascii="Arial" w:cs="Arial" w:eastAsia="Arial" w:hAnsi="Arial"/>
          <w:sz w:val="18"/>
          <w:szCs w:val="18"/>
          <w:color w:val="auto"/>
        </w:rPr>
        <w:t>to Borrower by such Lender and accrued and unpaid interest thereon and any other amounts due hereunder as and when due in accordance with this Agreement.</w:t>
      </w:r>
    </w:p>
    <w:p>
      <w:pPr>
        <w:spacing w:after="0" w:line="6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2.2 Term Loans</w:t>
      </w:r>
      <w:r>
        <w:rPr>
          <w:rFonts w:ascii="Arial" w:cs="Arial" w:eastAsia="Arial" w:hAnsi="Arial"/>
          <w:sz w:val="18"/>
          <w:szCs w:val="18"/>
          <w:color w:val="auto"/>
        </w:rPr>
        <w:t>.</w:t>
      </w:r>
    </w:p>
    <w:p>
      <w:pPr>
        <w:spacing w:after="0" w:line="121" w:lineRule="exact"/>
        <w:rPr>
          <w:sz w:val="20"/>
          <w:szCs w:val="20"/>
          <w:color w:val="auto"/>
        </w:rPr>
      </w:pPr>
    </w:p>
    <w:p>
      <w:pPr>
        <w:ind w:left="1244" w:hanging="253"/>
        <w:spacing w:after="0"/>
        <w:tabs>
          <w:tab w:leader="none" w:pos="124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80" w:firstLine="1428"/>
        <w:spacing w:after="0" w:line="257" w:lineRule="auto"/>
        <w:tabs>
          <w:tab w:leader="none" w:pos="1651"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the Lenders agree, severally and not jointly, during the Draw Period, to make term loans to Borrower on the Effective Date in an aggregate amount of Ten Million Dollars ($10,000,000.00) according to each Lender’s Term A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 A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A Loans</w:t>
      </w:r>
      <w:r>
        <w:rPr>
          <w:rFonts w:ascii="Arial" w:cs="Arial" w:eastAsia="Arial" w:hAnsi="Arial"/>
          <w:sz w:val="18"/>
          <w:szCs w:val="18"/>
          <w:color w:val="auto"/>
        </w:rPr>
        <w:t>”). Each Term A Loan shall be in minimum increments of Two Million Five Hundred Thousand Dollars ($2,500,000.00). After repayment, no Term A Loan may be re-borrowed.</w:t>
      </w:r>
    </w:p>
    <w:p>
      <w:pPr>
        <w:spacing w:after="0" w:line="79" w:lineRule="exact"/>
        <w:rPr>
          <w:rFonts w:ascii="Arial" w:cs="Arial" w:eastAsia="Arial" w:hAnsi="Arial"/>
          <w:sz w:val="18"/>
          <w:szCs w:val="18"/>
          <w:color w:val="auto"/>
        </w:rPr>
      </w:pPr>
    </w:p>
    <w:p>
      <w:pPr>
        <w:ind w:left="4" w:right="160" w:firstLine="1428"/>
        <w:spacing w:after="0" w:line="273" w:lineRule="auto"/>
        <w:tabs>
          <w:tab w:leader="none" w:pos="1701"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Agreement, the Lenders agree, severally and not jointly, during the Second Draw Period, to make term loans to Borrower, in a single draw, in an aggregate amount of Five Million Dollars ($5,000,000.00) according to each Lender’s Term B Loan Commitment as set forth on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hereto (such term loans are hereinafter referred to singly as a “</w:t>
      </w:r>
      <w:r>
        <w:rPr>
          <w:rFonts w:ascii="Arial" w:cs="Arial" w:eastAsia="Arial" w:hAnsi="Arial"/>
          <w:sz w:val="17"/>
          <w:szCs w:val="17"/>
          <w:b w:val="1"/>
          <w:bCs w:val="1"/>
          <w:color w:val="auto"/>
        </w:rPr>
        <w:t>Term B Loan</w:t>
      </w:r>
      <w:r>
        <w:rPr>
          <w:rFonts w:ascii="Arial" w:cs="Arial" w:eastAsia="Arial" w:hAnsi="Arial"/>
          <w:sz w:val="17"/>
          <w:szCs w:val="17"/>
          <w:color w:val="auto"/>
        </w:rPr>
        <w:t>”, and collectively as the “</w:t>
      </w:r>
      <w:r>
        <w:rPr>
          <w:rFonts w:ascii="Arial" w:cs="Arial" w:eastAsia="Arial" w:hAnsi="Arial"/>
          <w:sz w:val="17"/>
          <w:szCs w:val="17"/>
          <w:b w:val="1"/>
          <w:bCs w:val="1"/>
          <w:color w:val="auto"/>
        </w:rPr>
        <w:t>Term B Loans</w:t>
      </w:r>
      <w:r>
        <w:rPr>
          <w:rFonts w:ascii="Arial" w:cs="Arial" w:eastAsia="Arial" w:hAnsi="Arial"/>
          <w:sz w:val="17"/>
          <w:szCs w:val="17"/>
          <w:color w:val="auto"/>
        </w:rPr>
        <w:t>”; each Term A Loan or Term B Loan is hereinafter referred to singly as a “</w:t>
      </w:r>
      <w:r>
        <w:rPr>
          <w:rFonts w:ascii="Arial" w:cs="Arial" w:eastAsia="Arial" w:hAnsi="Arial"/>
          <w:sz w:val="17"/>
          <w:szCs w:val="17"/>
          <w:b w:val="1"/>
          <w:bCs w:val="1"/>
          <w:color w:val="auto"/>
        </w:rPr>
        <w:t>Term Loan</w:t>
      </w:r>
      <w:r>
        <w:rPr>
          <w:rFonts w:ascii="Arial" w:cs="Arial" w:eastAsia="Arial" w:hAnsi="Arial"/>
          <w:sz w:val="17"/>
          <w:szCs w:val="17"/>
          <w:color w:val="auto"/>
        </w:rPr>
        <w:t>” and the Term A Loans and the Term B Loans are hereinafter referred to collectively as the “</w:t>
      </w:r>
      <w:r>
        <w:rPr>
          <w:rFonts w:ascii="Arial" w:cs="Arial" w:eastAsia="Arial" w:hAnsi="Arial"/>
          <w:sz w:val="17"/>
          <w:szCs w:val="17"/>
          <w:b w:val="1"/>
          <w:bCs w:val="1"/>
          <w:color w:val="auto"/>
        </w:rPr>
        <w:t>Term Loans</w:t>
      </w:r>
      <w:r>
        <w:rPr>
          <w:rFonts w:ascii="Arial" w:cs="Arial" w:eastAsia="Arial" w:hAnsi="Arial"/>
          <w:sz w:val="17"/>
          <w:szCs w:val="17"/>
          <w:color w:val="auto"/>
        </w:rPr>
        <w:t>”). Each Term B Loan shall be in minimum increments of Two Million Five Hundred Thousand Dollars ($2,500,000.00). After repayment, no Term B Loan may be re-borrowed.</w:t>
      </w:r>
    </w:p>
    <w:p>
      <w:pPr>
        <w:spacing w:after="0" w:line="69" w:lineRule="exact"/>
        <w:rPr>
          <w:rFonts w:ascii="Arial" w:cs="Arial" w:eastAsia="Arial" w:hAnsi="Arial"/>
          <w:sz w:val="17"/>
          <w:szCs w:val="17"/>
          <w:color w:val="auto"/>
        </w:rPr>
      </w:pPr>
    </w:p>
    <w:p>
      <w:pPr>
        <w:ind w:left="4" w:right="340" w:firstLine="987"/>
        <w:spacing w:after="0" w:line="275" w:lineRule="auto"/>
        <w:tabs>
          <w:tab w:leader="none" w:pos="125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Repayment</w:t>
      </w:r>
      <w:r>
        <w:rPr>
          <w:rFonts w:ascii="Arial" w:cs="Arial" w:eastAsia="Arial" w:hAnsi="Arial"/>
          <w:sz w:val="17"/>
          <w:szCs w:val="17"/>
          <w:color w:val="auto"/>
        </w:rPr>
        <w:t>. Borrower shall make monthly payments of interest only commencing on the first (1</w:t>
      </w:r>
      <w:r>
        <w:rPr>
          <w:rFonts w:ascii="Arial" w:cs="Arial" w:eastAsia="Arial" w:hAnsi="Arial"/>
          <w:sz w:val="14"/>
          <w:szCs w:val="14"/>
          <w:color w:val="auto"/>
        </w:rPr>
        <w:t>st</w:t>
      </w:r>
      <w:r>
        <w:rPr>
          <w:rFonts w:ascii="Arial" w:cs="Arial" w:eastAsia="Arial" w:hAnsi="Arial"/>
          <w:sz w:val="17"/>
          <w:szCs w:val="17"/>
          <w:color w:val="auto"/>
        </w:rPr>
        <w:t>) Payment Date following the Funding Date of each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first Payment Date thereof. Commencing on the Amortization Date, and continuing on the Payment Date of each month thereafter, Borrower shall make</w:t>
      </w:r>
    </w:p>
    <w:p>
      <w:pPr>
        <w:sectPr>
          <w:pgSz w:w="11900" w:h="16838" w:orient="portrait"/>
          <w:cols w:equalWidth="0" w:num="1">
            <w:col w:w="11024"/>
          </w:cols>
          <w:pgMar w:left="436" w:top="121" w:right="439" w:bottom="1440" w:gutter="0" w:footer="0" w:header="0"/>
        </w:sectPr>
      </w:pPr>
    </w:p>
    <w:bookmarkStart w:id="14" w:name="page15"/>
    <w:bookmarkEnd w:id="14"/>
    <w:p>
      <w:pPr>
        <w:ind w:left="4" w:right="1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consecutive equal monthly payments of principal, together with applicable interest, in arrears, to each Lender, as calculated by Collateral Agent (which calculations shall be deemed correct absent manifest error) based upon: (1) the amount of such Lender’s Term Loan, (2) the effective rate of interest, as determined in Section 2.3(a), and (3) a repayment schedule equal to (i) if the Amortization Date is April 1, 2021, twenty (20) months, and (ii) if the Amortization Date is October 1, 2021, twenty-four (24) months. All unpaid principal and accrued and unpaid interest with respect to each Term Loan is due and payable in full on the Maturity Date. Each Term Loan may only be prepaid in accordance with Sections 2.2(c) and 2.2(d).</w:t>
      </w:r>
    </w:p>
    <w:p>
      <w:pPr>
        <w:spacing w:after="0" w:line="53" w:lineRule="exact"/>
        <w:rPr>
          <w:sz w:val="20"/>
          <w:szCs w:val="20"/>
          <w:color w:val="auto"/>
        </w:rPr>
      </w:pPr>
    </w:p>
    <w:p>
      <w:pPr>
        <w:ind w:left="4" w:right="80" w:firstLine="987"/>
        <w:spacing w:after="0" w:line="287" w:lineRule="auto"/>
        <w:tabs>
          <w:tab w:leader="none" w:pos="1240"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Mandatory Prepayments</w:t>
      </w:r>
      <w:r>
        <w:rPr>
          <w:rFonts w:ascii="Arial" w:cs="Arial" w:eastAsia="Arial" w:hAnsi="Arial"/>
          <w:sz w:val="16"/>
          <w:szCs w:val="16"/>
          <w:color w:val="auto"/>
        </w:rPr>
        <w:t>. If the Term Loans are accelerated following the occurrence of an Event of Default, Borrower shall immediately pay to Lenders, payable to each Lender in accordance with its respective Pro Rata Share, an amount equal to the sum of: (i) all outstanding principal of the Term Loans plus accrued and unpaid interest thereon through the prepayment date, (ii) the Final Payment, (iii) the Prepayment Fee, plus</w:t>
      </w:r>
    </w:p>
    <w:p>
      <w:pPr>
        <w:spacing w:after="0" w:line="2" w:lineRule="exact"/>
        <w:rPr>
          <w:rFonts w:ascii="Arial" w:cs="Arial" w:eastAsia="Arial" w:hAnsi="Arial"/>
          <w:sz w:val="16"/>
          <w:szCs w:val="16"/>
          <w:color w:val="auto"/>
        </w:rPr>
      </w:pPr>
    </w:p>
    <w:p>
      <w:pPr>
        <w:ind w:left="4" w:right="240" w:hanging="4"/>
        <w:spacing w:after="0" w:line="253" w:lineRule="auto"/>
        <w:tabs>
          <w:tab w:leader="none" w:pos="30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other Obligations that are due and payable, including Lenders’ Expenses and interest at the Default Rate with respect to any past due amounts. Notwithstanding (but without duplication with) the foregoing, on the Maturity Date, if the Final Payment had not previously been paid in full in connection with the prepayment of the Term Loans in full, Borrower shall pay to Collateral Agent, for payment to each Lender in accordance with its respective Pro Rata Share, the Final Payment in respect of the Term Loan(s).</w:t>
      </w:r>
    </w:p>
    <w:p>
      <w:pPr>
        <w:spacing w:after="0" w:line="84" w:lineRule="exact"/>
        <w:rPr>
          <w:rFonts w:ascii="Arial" w:cs="Arial" w:eastAsia="Arial" w:hAnsi="Arial"/>
          <w:sz w:val="18"/>
          <w:szCs w:val="18"/>
          <w:color w:val="auto"/>
        </w:rPr>
      </w:pPr>
    </w:p>
    <w:p>
      <w:pPr>
        <w:ind w:left="4" w:right="80" w:firstLine="987"/>
        <w:spacing w:after="0" w:line="273" w:lineRule="auto"/>
        <w:tabs>
          <w:tab w:leader="none" w:pos="1250"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Permitted Prepayment of Term Loans</w:t>
      </w:r>
      <w:r>
        <w:rPr>
          <w:rFonts w:ascii="Arial" w:cs="Arial" w:eastAsia="Arial" w:hAnsi="Arial"/>
          <w:sz w:val="17"/>
          <w:szCs w:val="17"/>
          <w:color w:val="auto"/>
        </w:rPr>
        <w:t>. Borrower shall have the option to prepay all, but not less than all, of the Term Loans advanced by the Lenders under this Agreement, provided Borrower (i) provides written notice to Collateral Agent of its election to prepay the Term Loans at least ten (10) Business Days prior to such prepayment, and (ii) pays to the Lenders on the date of such prepayment, payable to each Lender in accordance with its respective Pro Rata Share, an amount equal to the sum of (A) all outstanding principal of the Term Loans plus accrued and unpaid interest thereon through the prepayment date, (B) the Final Payment, (C) the Prepayment Fee, plus (D) all other Obligations that are due and payable, including Lenders’ Expenses and interest at the Default Rate with respect to any past due amounts.</w:t>
      </w:r>
    </w:p>
    <w:p>
      <w:pPr>
        <w:spacing w:after="0" w:line="6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2.3 Payment of Interest on the Credit Extensions</w:t>
      </w:r>
      <w:r>
        <w:rPr>
          <w:rFonts w:ascii="Arial" w:cs="Arial" w:eastAsia="Arial" w:hAnsi="Arial"/>
          <w:sz w:val="18"/>
          <w:szCs w:val="18"/>
          <w:color w:val="auto"/>
        </w:rPr>
        <w:t>.</w:t>
      </w:r>
    </w:p>
    <w:p>
      <w:pPr>
        <w:spacing w:after="0" w:line="121" w:lineRule="exact"/>
        <w:rPr>
          <w:sz w:val="20"/>
          <w:szCs w:val="20"/>
          <w:color w:val="auto"/>
        </w:rPr>
      </w:pPr>
    </w:p>
    <w:p>
      <w:pPr>
        <w:ind w:left="4" w:firstLine="987"/>
        <w:spacing w:after="0" w:line="25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 xml:space="preserve"> Subject to Section 2.3(b), the principal amount outstanding under the Term Loans shall accrue interest at a floating per annum rate equal to the Basic Rate, determined by Collateral Agent on the Funding Date of the applicable Term Loan, which interest shall be payable monthly in arrears in accordance with Sections 2.2(b) and 2.3(e). Interest shall accrue on each Term Loan commencing on, and including, the Funding Date of such Term Loan, and shall accrue on the principal amount outstanding under such Term Loan through and including the day on which such Term Loan is paid in full.</w:t>
      </w:r>
    </w:p>
    <w:p>
      <w:pPr>
        <w:spacing w:after="0" w:line="79" w:lineRule="exact"/>
        <w:rPr>
          <w:rFonts w:ascii="Arial" w:cs="Arial" w:eastAsia="Arial" w:hAnsi="Arial"/>
          <w:sz w:val="18"/>
          <w:szCs w:val="18"/>
          <w:color w:val="auto"/>
        </w:rPr>
      </w:pPr>
    </w:p>
    <w:p>
      <w:pPr>
        <w:jc w:val="both"/>
        <w:ind w:left="4" w:right="320" w:firstLine="987"/>
        <w:spacing w:after="0" w:line="301" w:lineRule="auto"/>
        <w:tabs>
          <w:tab w:leader="none" w:pos="125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Default Rate</w:t>
      </w:r>
      <w:r>
        <w:rPr>
          <w:rFonts w:ascii="Arial" w:cs="Arial" w:eastAsia="Arial" w:hAnsi="Arial"/>
          <w:sz w:val="16"/>
          <w:szCs w:val="16"/>
          <w:color w:val="auto"/>
        </w:rPr>
        <w:t>. Immediately upon the occurrence and during the continuance of an Event of Default, at the discretion of the Lenders, Obligations shall accrue interest at a floating per annum rate equal to the rate that is otherwise applicable thereto plus five percentage points (5.00%) (the “</w:t>
      </w:r>
      <w:r>
        <w:rPr>
          <w:rFonts w:ascii="Arial" w:cs="Arial" w:eastAsia="Arial" w:hAnsi="Arial"/>
          <w:sz w:val="16"/>
          <w:szCs w:val="16"/>
          <w:b w:val="1"/>
          <w:bCs w:val="1"/>
          <w:color w:val="auto"/>
        </w:rPr>
        <w:t>Default Rate</w:t>
      </w:r>
      <w:r>
        <w:rPr>
          <w:rFonts w:ascii="Arial" w:cs="Arial" w:eastAsia="Arial" w:hAnsi="Arial"/>
          <w:sz w:val="16"/>
          <w:szCs w:val="16"/>
          <w:color w:val="auto"/>
        </w:rPr>
        <w:t>”).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spacing w:after="0" w:line="49" w:lineRule="exact"/>
        <w:rPr>
          <w:rFonts w:ascii="Arial" w:cs="Arial" w:eastAsia="Arial" w:hAnsi="Arial"/>
          <w:sz w:val="16"/>
          <w:szCs w:val="16"/>
          <w:color w:val="auto"/>
        </w:rPr>
      </w:pPr>
    </w:p>
    <w:p>
      <w:pPr>
        <w:ind w:left="1244" w:hanging="253"/>
        <w:spacing w:after="0"/>
        <w:tabs>
          <w:tab w:leader="none" w:pos="1244"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360-Day Year</w:t>
      </w:r>
      <w:r>
        <w:rPr>
          <w:rFonts w:ascii="Arial" w:cs="Arial" w:eastAsia="Arial" w:hAnsi="Arial"/>
          <w:sz w:val="16"/>
          <w:szCs w:val="16"/>
          <w:color w:val="auto"/>
        </w:rPr>
        <w:t>. Interest shall be computed on the basis of a three hundred sixty (360) day year, and the actual number of days elapsed.</w:t>
      </w:r>
    </w:p>
    <w:p>
      <w:pPr>
        <w:spacing w:after="0" w:line="140" w:lineRule="exact"/>
        <w:rPr>
          <w:rFonts w:ascii="Arial" w:cs="Arial" w:eastAsia="Arial" w:hAnsi="Arial"/>
          <w:sz w:val="16"/>
          <w:szCs w:val="16"/>
          <w:color w:val="auto"/>
        </w:rPr>
      </w:pPr>
    </w:p>
    <w:p>
      <w:pPr>
        <w:ind w:left="4" w:right="160" w:firstLine="987"/>
        <w:spacing w:after="0" w:line="311" w:lineRule="auto"/>
        <w:tabs>
          <w:tab w:leader="none" w:pos="125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Debit of Accounts</w:t>
      </w:r>
      <w:r>
        <w:rPr>
          <w:rFonts w:ascii="Arial" w:cs="Arial" w:eastAsia="Arial" w:hAnsi="Arial"/>
          <w:sz w:val="16"/>
          <w:szCs w:val="16"/>
          <w:color w:val="auto"/>
        </w:rPr>
        <w:t>. Collateral Agent and each Lender may debit (or ACH) the Designated Deposit Account, or, if the Designated Deposit Account has insufficient funds, any deposit accounts, maintained by Borrower or any of its Subsidiaries, for principal and interest payments or any other amounts Borrower owes the Lenders under the Loan Documents when due. Any such debits (or ACH activity) shall not constitute a set-off.</w:t>
      </w:r>
    </w:p>
    <w:p>
      <w:pPr>
        <w:spacing w:after="0" w:line="40" w:lineRule="exact"/>
        <w:rPr>
          <w:rFonts w:ascii="Arial" w:cs="Arial" w:eastAsia="Arial" w:hAnsi="Arial"/>
          <w:sz w:val="16"/>
          <w:szCs w:val="16"/>
          <w:color w:val="auto"/>
        </w:rPr>
      </w:pPr>
    </w:p>
    <w:p>
      <w:pPr>
        <w:ind w:left="4" w:right="200" w:firstLine="987"/>
        <w:spacing w:after="0" w:line="301" w:lineRule="auto"/>
        <w:tabs>
          <w:tab w:leader="none" w:pos="124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Except as otherwise expressly provided herein, all payments by Borrower under the Loan Documents shall be made to the respective Lender to which such payments are owed, at such Lender’s office in immediately available funds on the date specified herein. Unless otherwise provided, interest is payable monthly on the Payment Date of each month. Payments of principal and/or interest received after 2:00 pm Eastern time are considered received at the opening of business on the next Business Day. When a payment is due on a day that is not</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15" w:name="page16"/>
    <w:bookmarkEnd w:id="15"/>
    <w:p>
      <w:pPr>
        <w:ind w:left="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set-off, recoupment or counterclaim, in lawful money of the United States and in immediately available funds.</w:t>
      </w:r>
    </w:p>
    <w:p>
      <w:pPr>
        <w:spacing w:after="0" w:line="7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2.4 Intentionally Omitted.</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2.5 Fees. </w:t>
      </w:r>
      <w:r>
        <w:rPr>
          <w:rFonts w:ascii="Arial" w:cs="Arial" w:eastAsia="Arial" w:hAnsi="Arial"/>
          <w:sz w:val="18"/>
          <w:szCs w:val="18"/>
          <w:color w:val="auto"/>
        </w:rPr>
        <w:t>Borrower shall pay to Collateral Agent:</w:t>
      </w:r>
    </w:p>
    <w:p>
      <w:pPr>
        <w:spacing w:after="0" w:line="121"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Final Payment</w:t>
      </w:r>
      <w:r>
        <w:rPr>
          <w:rFonts w:ascii="Arial" w:cs="Arial" w:eastAsia="Arial" w:hAnsi="Arial"/>
          <w:sz w:val="16"/>
          <w:szCs w:val="16"/>
          <w:color w:val="auto"/>
        </w:rPr>
        <w:t>. The Final Payment, when due hereunder, to be shared between the Lenders in accordance with their respective Pro Rata</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Shares;</w:t>
      </w:r>
    </w:p>
    <w:p>
      <w:pPr>
        <w:spacing w:after="0" w:line="103"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Prepayment Fee</w:t>
      </w:r>
      <w:r>
        <w:rPr>
          <w:rFonts w:ascii="Arial" w:cs="Arial" w:eastAsia="Arial" w:hAnsi="Arial"/>
          <w:sz w:val="16"/>
          <w:szCs w:val="16"/>
          <w:color w:val="auto"/>
        </w:rPr>
        <w:t>. The Prepayment Fee, when due hereunder, to be shared between the Lenders in accordance with their respective Pro</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Rata Shares;</w:t>
      </w:r>
    </w:p>
    <w:p>
      <w:pPr>
        <w:spacing w:after="0" w:line="103" w:lineRule="exact"/>
        <w:rPr>
          <w:sz w:val="20"/>
          <w:szCs w:val="20"/>
          <w:color w:val="auto"/>
        </w:rPr>
      </w:pPr>
    </w:p>
    <w:p>
      <w:pPr>
        <w:ind w:left="4" w:right="480" w:firstLine="987"/>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Lenders’ Expenses</w:t>
      </w:r>
      <w:r>
        <w:rPr>
          <w:rFonts w:ascii="Arial" w:cs="Arial" w:eastAsia="Arial" w:hAnsi="Arial"/>
          <w:sz w:val="18"/>
          <w:szCs w:val="18"/>
          <w:color w:val="auto"/>
        </w:rPr>
        <w:t>. All Lenders’ Expenses (including reasonable and documented out-of-pocket attorneys’ fees and expenses for documentation and negotiation of this Agreement) incurred through and after the Effective Date, when due; and</w:t>
      </w:r>
    </w:p>
    <w:p>
      <w:pPr>
        <w:spacing w:after="0" w:line="58" w:lineRule="exact"/>
        <w:rPr>
          <w:rFonts w:ascii="Arial" w:cs="Arial" w:eastAsia="Arial" w:hAnsi="Arial"/>
          <w:sz w:val="18"/>
          <w:szCs w:val="18"/>
          <w:color w:val="auto"/>
        </w:rPr>
      </w:pPr>
    </w:p>
    <w:p>
      <w:pPr>
        <w:ind w:left="4" w:right="40" w:firstLine="987"/>
        <w:spacing w:after="0" w:line="258" w:lineRule="auto"/>
        <w:tabs>
          <w:tab w:leader="none" w:pos="125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Good Faith Deposit</w:t>
      </w:r>
      <w:r>
        <w:rPr>
          <w:rFonts w:ascii="Arial" w:cs="Arial" w:eastAsia="Arial" w:hAnsi="Arial"/>
          <w:sz w:val="18"/>
          <w:szCs w:val="18"/>
          <w:color w:val="auto"/>
        </w:rPr>
        <w:t>. Borrower has paid to Collateral Agent a deposit of Fifty Thousand Dollars ($50,000.00) (“</w:t>
      </w:r>
      <w:r>
        <w:rPr>
          <w:rFonts w:ascii="Arial" w:cs="Arial" w:eastAsia="Arial" w:hAnsi="Arial"/>
          <w:sz w:val="18"/>
          <w:szCs w:val="18"/>
          <w:b w:val="1"/>
          <w:bCs w:val="1"/>
          <w:color w:val="auto"/>
        </w:rPr>
        <w:t>Good Faith Deposit</w:t>
      </w:r>
      <w:r>
        <w:rPr>
          <w:rFonts w:ascii="Arial" w:cs="Arial" w:eastAsia="Arial" w:hAnsi="Arial"/>
          <w:sz w:val="18"/>
          <w:szCs w:val="18"/>
          <w:color w:val="auto"/>
        </w:rPr>
        <w:t>”), to initiate Collateral Agent’s and Lenders’ due diligence review and documentation process. The Good Faith Deposit will be used to pay down the Lenders’ Expenses due on the Effective Date on a dollar-for-dollar basis; provided, however, Borrower shall be responsible for the entire amount of Lenders’ Expenses payable under Section 2.5(c) hereof. Notwithstanding the foregoing, Borrower shall only be responsible for domestic legal fees for Collateral Agent and the Lenders incurred on or after March 27, 2020.</w:t>
      </w:r>
    </w:p>
    <w:p>
      <w:pPr>
        <w:spacing w:after="0" w:line="75"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b w:val="1"/>
          <w:bCs w:val="1"/>
          <w:color w:val="auto"/>
        </w:rPr>
        <w:t xml:space="preserve">2.6 Withholding. </w:t>
      </w:r>
      <w:r>
        <w:rPr>
          <w:rFonts w:ascii="Arial" w:cs="Arial" w:eastAsia="Arial" w:hAnsi="Arial"/>
          <w:sz w:val="16"/>
          <w:szCs w:val="16"/>
          <w:color w:val="auto"/>
        </w:rPr>
        <w:t>Subject to the provisions of Section 2.7(a) below, payments received by the Lenders from Borrower hereunder will be made free</w:t>
      </w:r>
      <w:r>
        <w:rPr>
          <w:rFonts w:ascii="Arial" w:cs="Arial" w:eastAsia="Arial" w:hAnsi="Arial"/>
          <w:sz w:val="16"/>
          <w:szCs w:val="16"/>
          <w:b w:val="1"/>
          <w:bCs w:val="1"/>
          <w:color w:val="auto"/>
        </w:rPr>
        <w:t xml:space="preserve"> </w:t>
      </w:r>
      <w:r>
        <w:rPr>
          <w:rFonts w:ascii="Arial" w:cs="Arial" w:eastAsia="Arial" w:hAnsi="Arial"/>
          <w:sz w:val="16"/>
          <w:szCs w:val="16"/>
          <w:color w:val="auto"/>
        </w:rPr>
        <w:t>and clear of and without deduction for any and 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the Lenders, Borrower hereby covenants and agrees that the amount due from Borrower with respect to such payment or other sum payable hereunder will be increased to the extent necessary to ensure that, after the making of such required withholding or deduction, each Lender receives a net sum equal to the sum which it would have received had no withholding or deduction been required and Borrower shall pay the full amount withheld or deducted to the relevant Governmental Authority. Borrower will, upon request, furnish the Lenders with proof reasonably satisfactory to the Lenders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2.6 shall survive the termination of this Agreement.</w:t>
      </w:r>
    </w:p>
    <w:p>
      <w:pPr>
        <w:spacing w:after="0" w:line="6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2.7 Net Payments and Withholding</w:t>
      </w:r>
      <w:r>
        <w:rPr>
          <w:rFonts w:ascii="Arial" w:cs="Arial" w:eastAsia="Arial" w:hAnsi="Arial"/>
          <w:sz w:val="18"/>
          <w:szCs w:val="18"/>
          <w:color w:val="auto"/>
        </w:rPr>
        <w:t>.</w:t>
      </w:r>
    </w:p>
    <w:p>
      <w:pPr>
        <w:spacing w:after="0" w:line="121" w:lineRule="exact"/>
        <w:rPr>
          <w:sz w:val="20"/>
          <w:szCs w:val="20"/>
          <w:color w:val="auto"/>
        </w:rPr>
      </w:pPr>
    </w:p>
    <w:p>
      <w:pPr>
        <w:ind w:left="4" w:right="40" w:firstLine="987"/>
        <w:spacing w:after="0" w:line="286" w:lineRule="auto"/>
        <w:tabs>
          <w:tab w:leader="none" w:pos="12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payments by 89Bio Israel on account of the Obligations shall be made subject to applicable withholding taxes under the Israeli Income Tax Ordinance and the Convention between the Government of the State of Israel and the Government of the United States of America with respect to taxes on income, provided, however, that if Bank provides 89Bio Israel with a valid certificate of exemption from tax withholding or a determination applying a reduced withholding tax rate or any other instructions regarding the payment of withholding issued by the Israel Tax Authority</w:t>
      </w:r>
    </w:p>
    <w:p>
      <w:pPr>
        <w:spacing w:after="0" w:line="1" w:lineRule="exact"/>
        <w:rPr>
          <w:rFonts w:ascii="Arial" w:cs="Arial" w:eastAsia="Arial" w:hAnsi="Arial"/>
          <w:sz w:val="16"/>
          <w:szCs w:val="16"/>
          <w:color w:val="auto"/>
        </w:rPr>
      </w:pPr>
    </w:p>
    <w:p>
      <w:pPr>
        <w:ind w:left="4" w:right="640" w:hanging="4"/>
        <w:spacing w:after="0" w:line="260" w:lineRule="auto"/>
        <w:tabs>
          <w:tab w:leader="none" w:pos="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then the withholding (if any) of any amounts from the payments to be made by 89Bio Israel to Bank shall be made only in accordance with the provisions of such certificate.</w:t>
      </w:r>
    </w:p>
    <w:p>
      <w:pPr>
        <w:spacing w:after="0" w:line="77" w:lineRule="exact"/>
        <w:rPr>
          <w:rFonts w:ascii="Arial" w:cs="Arial" w:eastAsia="Arial" w:hAnsi="Arial"/>
          <w:sz w:val="18"/>
          <w:szCs w:val="18"/>
          <w:color w:val="auto"/>
        </w:rPr>
      </w:pPr>
    </w:p>
    <w:p>
      <w:pPr>
        <w:ind w:left="4" w:right="80" w:firstLine="987"/>
        <w:spacing w:after="0" w:line="257" w:lineRule="auto"/>
        <w:tabs>
          <w:tab w:leader="none" w:pos="12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Borrower will furnish Bank with proof satisfactory to Bank indicating that Borrower has made all such withholding tax payments, if and to the extent such withholding tax payment is required to be made in accordance with applicable law, and will cooperate with Bank in connection with any information and documentation required by Bank in connection with credits, exemptions, rebates, or other benefits to be obtained by Bank in connection with such withholding payments made by Borrower, which credits, exemptions, rebates, or other benefits shall be property of Bank, without payment to Borrower or application to any Obligations hereunder.</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16" w:name="page17"/>
    <w:bookmarkEnd w:id="16"/>
    <w:p>
      <w:pPr>
        <w:ind w:left="1244" w:hanging="253"/>
        <w:spacing w:after="0"/>
        <w:tabs>
          <w:tab w:leader="none" w:pos="1244" w:val="left"/>
        </w:tabs>
        <w:numPr>
          <w:ilvl w:val="1"/>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agreements and obligations of Borrower contained in this Section 2.7 shall survive the termination of this Agreement.</w:t>
      </w:r>
    </w:p>
    <w:p>
      <w:pPr>
        <w:spacing w:after="0" w:line="248" w:lineRule="exact"/>
        <w:rPr>
          <w:rFonts w:ascii="Arial" w:cs="Arial" w:eastAsia="Arial" w:hAnsi="Arial"/>
          <w:sz w:val="18"/>
          <w:szCs w:val="18"/>
          <w:color w:val="auto"/>
        </w:rPr>
      </w:pPr>
    </w:p>
    <w:p>
      <w:pPr>
        <w:ind w:left="424" w:hanging="424"/>
        <w:spacing w:after="0"/>
        <w:tabs>
          <w:tab w:leader="none" w:pos="42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3.1 Conditions Precedent to Initial Credit Extension. </w:t>
      </w:r>
      <w:r>
        <w:rPr>
          <w:rFonts w:ascii="Arial" w:cs="Arial" w:eastAsia="Arial" w:hAnsi="Arial"/>
          <w:sz w:val="16"/>
          <w:szCs w:val="16"/>
          <w:color w:val="auto"/>
        </w:rPr>
        <w:t>Subject to the Post Closing Letter, each Lender’s obligation to make a Term A Loan is</w:t>
      </w:r>
    </w:p>
    <w:p>
      <w:pPr>
        <w:spacing w:after="0" w:line="50" w:lineRule="exact"/>
        <w:rPr>
          <w:sz w:val="20"/>
          <w:szCs w:val="20"/>
          <w:color w:val="auto"/>
        </w:rPr>
      </w:pPr>
    </w:p>
    <w:p>
      <w:pPr>
        <w:ind w:left="4" w:right="200"/>
        <w:spacing w:after="0" w:line="255" w:lineRule="auto"/>
        <w:rPr>
          <w:sz w:val="20"/>
          <w:szCs w:val="20"/>
          <w:color w:val="auto"/>
        </w:rPr>
      </w:pPr>
      <w:r>
        <w:rPr>
          <w:rFonts w:ascii="Arial" w:cs="Arial" w:eastAsia="Arial" w:hAnsi="Arial"/>
          <w:sz w:val="18"/>
          <w:szCs w:val="18"/>
          <w:color w:val="auto"/>
        </w:rPr>
        <w:t>subject to the condition precedent that Collateral Agent and each Lender shall consent to or shall have received (or otherwise waived receipt of in writing), in form and substance satisfactory to Collateral Agent and each Lender, such documents, and completion of such other matters, as Collateral Agent and each Lender may reasonably deem necessary or appropriate, including, without limitation:</w:t>
      </w:r>
    </w:p>
    <w:p>
      <w:pPr>
        <w:spacing w:after="0" w:line="82" w:lineRule="exact"/>
        <w:rPr>
          <w:sz w:val="20"/>
          <w:szCs w:val="20"/>
          <w:color w:val="auto"/>
        </w:rPr>
      </w:pPr>
    </w:p>
    <w:p>
      <w:pPr>
        <w:ind w:left="1244" w:hanging="253"/>
        <w:spacing w:after="0"/>
        <w:tabs>
          <w:tab w:leader="none" w:pos="12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original Loan Documents, each duly executed by Borrower and each Subsidiary, as applicable;</w:t>
      </w:r>
    </w:p>
    <w:p>
      <w:pPr>
        <w:spacing w:after="0" w:line="117" w:lineRule="exact"/>
        <w:rPr>
          <w:rFonts w:ascii="Arial" w:cs="Arial" w:eastAsia="Arial" w:hAnsi="Arial"/>
          <w:sz w:val="18"/>
          <w:szCs w:val="18"/>
          <w:color w:val="auto"/>
        </w:rPr>
      </w:pPr>
    </w:p>
    <w:p>
      <w:pPr>
        <w:jc w:val="both"/>
        <w:ind w:left="4" w:right="380" w:firstLine="987"/>
        <w:spacing w:after="0" w:line="263" w:lineRule="auto"/>
        <w:tabs>
          <w:tab w:leader="none" w:pos="12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duly executed original signatures to the Debentures and the translation of the Debentures to Hebrew (together with 89Bio Israel’s stamp), duly executed original notices to the Israeli Registrar of Companies for the registration of the Debentures and original confirmation of such translation’s compatibility to the English original, as required for the registration of the Debentures;</w:t>
      </w:r>
    </w:p>
    <w:p>
      <w:pPr>
        <w:spacing w:after="0" w:line="75" w:lineRule="exact"/>
        <w:rPr>
          <w:rFonts w:ascii="Arial" w:cs="Arial" w:eastAsia="Arial" w:hAnsi="Arial"/>
          <w:sz w:val="18"/>
          <w:szCs w:val="18"/>
          <w:color w:val="auto"/>
        </w:rPr>
      </w:pPr>
    </w:p>
    <w:p>
      <w:pPr>
        <w:ind w:left="1244" w:hanging="253"/>
        <w:spacing w:after="0"/>
        <w:tabs>
          <w:tab w:leader="none" w:pos="124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certificate(s) for the Shares, to the extent certificated, together with Assignment(s) Separate from Certificate, duly executed in</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blank;</w:t>
      </w:r>
    </w:p>
    <w:p>
      <w:pPr>
        <w:spacing w:after="0" w:line="102" w:lineRule="exact"/>
        <w:rPr>
          <w:rFonts w:ascii="Arial" w:cs="Arial" w:eastAsia="Arial" w:hAnsi="Arial"/>
          <w:sz w:val="17"/>
          <w:szCs w:val="17"/>
          <w:color w:val="auto"/>
        </w:rPr>
      </w:pPr>
    </w:p>
    <w:p>
      <w:pPr>
        <w:ind w:left="4" w:right="660" w:firstLine="987"/>
        <w:spacing w:after="0" w:line="277" w:lineRule="auto"/>
        <w:tabs>
          <w:tab w:leader="none" w:pos="12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Operating Documents and good standing certificates (where applicable) of Borrower certified by the Secretary of State (or equivalent agency) of Borrower’s jurisdiction of organization or formation, to the extent available</w:t>
      </w:r>
      <w:r>
        <w:rPr>
          <w:rFonts w:ascii="Arial" w:cs="Arial" w:eastAsia="Arial" w:hAnsi="Arial"/>
          <w:sz w:val="18"/>
          <w:szCs w:val="18"/>
          <w:b w:val="1"/>
          <w:bCs w:val="1"/>
          <w:color w:val="auto"/>
        </w:rPr>
        <w:t>;</w:t>
      </w:r>
    </w:p>
    <w:p>
      <w:pPr>
        <w:spacing w:after="0" w:line="62" w:lineRule="exact"/>
        <w:rPr>
          <w:rFonts w:ascii="Arial" w:cs="Arial" w:eastAsia="Arial" w:hAnsi="Arial"/>
          <w:sz w:val="18"/>
          <w:szCs w:val="18"/>
          <w:color w:val="auto"/>
        </w:rPr>
      </w:pPr>
    </w:p>
    <w:p>
      <w:pPr>
        <w:ind w:left="1244" w:hanging="253"/>
        <w:spacing w:after="0"/>
        <w:tabs>
          <w:tab w:leader="none" w:pos="12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completed Perfection Certificate for Borrower and each of its Subsidiaries;</w:t>
      </w:r>
    </w:p>
    <w:p>
      <w:pPr>
        <w:spacing w:after="0" w:line="117" w:lineRule="exact"/>
        <w:rPr>
          <w:rFonts w:ascii="Arial" w:cs="Arial" w:eastAsia="Arial" w:hAnsi="Arial"/>
          <w:sz w:val="18"/>
          <w:szCs w:val="18"/>
          <w:color w:val="auto"/>
        </w:rPr>
      </w:pPr>
    </w:p>
    <w:p>
      <w:pPr>
        <w:ind w:left="1224" w:hanging="233"/>
        <w:spacing w:after="0"/>
        <w:tabs>
          <w:tab w:leader="none" w:pos="12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Annual Projections, for the current calendar year;</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duly executed original officer’s certificate for Borrower that is a party to the Loan Documents;</w:t>
      </w:r>
    </w:p>
    <w:p>
      <w:pPr>
        <w:spacing w:after="0" w:line="117" w:lineRule="exact"/>
        <w:rPr>
          <w:rFonts w:ascii="Arial" w:cs="Arial" w:eastAsia="Arial" w:hAnsi="Arial"/>
          <w:sz w:val="18"/>
          <w:szCs w:val="18"/>
          <w:color w:val="auto"/>
        </w:rPr>
      </w:pPr>
    </w:p>
    <w:p>
      <w:pPr>
        <w:ind w:left="4" w:right="80" w:firstLine="987"/>
        <w:spacing w:after="0" w:line="259" w:lineRule="auto"/>
        <w:tabs>
          <w:tab w:leader="none" w:pos="12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certified copies, dated as of date no earlier than thirty (30) days prior to the Effective Date, of financing statement and other lien filing searches and a copy of a search of the Israel Companies Registrar, as Collateral Agent shall reasonably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78" w:lineRule="exact"/>
        <w:rPr>
          <w:rFonts w:ascii="Arial" w:cs="Arial" w:eastAsia="Arial" w:hAnsi="Arial"/>
          <w:sz w:val="18"/>
          <w:szCs w:val="18"/>
          <w:color w:val="auto"/>
        </w:rPr>
      </w:pPr>
    </w:p>
    <w:p>
      <w:pPr>
        <w:ind w:left="4" w:firstLine="987"/>
        <w:spacing w:after="0" w:line="277" w:lineRule="auto"/>
        <w:tabs>
          <w:tab w:leader="none" w:pos="121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bailee waiver executed in favor of Collateral Agent in respect of each third party bailee where Borrower maintains Collateral having a Book Value in excess of Two Hundred Fifty Thousand Dollars ($250,000.00);</w:t>
      </w:r>
    </w:p>
    <w:p>
      <w:pPr>
        <w:spacing w:after="0" w:line="62" w:lineRule="exact"/>
        <w:rPr>
          <w:rFonts w:ascii="Arial" w:cs="Arial" w:eastAsia="Arial" w:hAnsi="Arial"/>
          <w:sz w:val="18"/>
          <w:szCs w:val="18"/>
          <w:color w:val="auto"/>
        </w:rPr>
      </w:pPr>
    </w:p>
    <w:p>
      <w:pPr>
        <w:ind w:left="4" w:right="280" w:firstLine="987"/>
        <w:spacing w:after="0" w:line="277" w:lineRule="auto"/>
        <w:tabs>
          <w:tab w:leader="none" w:pos="121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duly executed legal opinion of Gibson, Dunn &amp; Crutcher LLP, U.S. counsel to Borrower dated as of the Effective Date and a legal opinion of Fischer Behar Chen Weil &amp; Co., Israeli counsel to 89Bio Israel dated as of the Effective Date;</w:t>
      </w:r>
    </w:p>
    <w:p>
      <w:pPr>
        <w:spacing w:after="0" w:line="62" w:lineRule="exact"/>
        <w:rPr>
          <w:rFonts w:ascii="Arial" w:cs="Arial" w:eastAsia="Arial" w:hAnsi="Arial"/>
          <w:sz w:val="18"/>
          <w:szCs w:val="18"/>
          <w:color w:val="auto"/>
        </w:rPr>
      </w:pPr>
    </w:p>
    <w:p>
      <w:pPr>
        <w:ind w:left="4" w:right="520" w:firstLine="987"/>
        <w:spacing w:after="0" w:line="277" w:lineRule="auto"/>
        <w:tabs>
          <w:tab w:leader="none" w:pos="12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legal opinion (authority and enforceability) of Borrower’s Israeli counsel dated as of the Effective Date, together with the duly executed original signature thereto;</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4" w:right="479" w:bottom="1440" w:gutter="0" w:footer="0" w:header="0"/>
        </w:sectPr>
      </w:pPr>
    </w:p>
    <w:bookmarkStart w:id="17" w:name="page18"/>
    <w:bookmarkEnd w:id="17"/>
    <w:p>
      <w:pPr>
        <w:ind w:right="80" w:firstLine="987"/>
        <w:spacing w:after="0" w:line="263" w:lineRule="auto"/>
        <w:tabs>
          <w:tab w:leader="none" w:pos="1206"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evidence satisfactory to Collateral Agent and the Lenders that the insurance policies required by Section 6.5 hereof are in full force and effect, together with appropriate evidence showing loss payable and/or additional insured clauses or endorsements in favor of Collateral Agent, for the ratable benefit of the Lenders;</w:t>
      </w:r>
    </w:p>
    <w:p>
      <w:pPr>
        <w:spacing w:after="0" w:line="75" w:lineRule="exact"/>
        <w:rPr>
          <w:rFonts w:ascii="Arial" w:cs="Arial" w:eastAsia="Arial" w:hAnsi="Arial"/>
          <w:sz w:val="18"/>
          <w:szCs w:val="18"/>
          <w:color w:val="auto"/>
        </w:rPr>
      </w:pPr>
    </w:p>
    <w:p>
      <w:pPr>
        <w:ind w:right="60" w:firstLine="987"/>
        <w:spacing w:after="0" w:line="275" w:lineRule="auto"/>
        <w:tabs>
          <w:tab w:leader="none" w:pos="12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evidence satisfactory to Collateral Agent that all filings required to have been made pursuant to the Debentures and the other Loan Documents have been made to secure a first-ranking Lien in favor of Collateral Agent on the Charged Property, and all other actions required to have been taken by Borrower or any other party prior to the initial Credit Extension shall have been taken and all consents and other authorizations shall have been obtained prior to the initial Credit Extension, all in accordance with the terms of the Debentures and the other Loan Documents and that a first-ranking Liens have been registered in favor of the Collateral Agent pursuant to the Debentures; and</w:t>
      </w:r>
    </w:p>
    <w:p>
      <w:pPr>
        <w:spacing w:after="0" w:line="68" w:lineRule="exact"/>
        <w:rPr>
          <w:rFonts w:ascii="Arial" w:cs="Arial" w:eastAsia="Arial" w:hAnsi="Arial"/>
          <w:sz w:val="17"/>
          <w:szCs w:val="17"/>
          <w:color w:val="auto"/>
        </w:rPr>
      </w:pPr>
    </w:p>
    <w:p>
      <w:pPr>
        <w:ind w:left="1240" w:hanging="253"/>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2.5 hereof.</w:t>
      </w:r>
    </w:p>
    <w:p>
      <w:pPr>
        <w:spacing w:after="0" w:line="113"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b w:val="1"/>
          <w:bCs w:val="1"/>
          <w:color w:val="auto"/>
        </w:rPr>
        <w:t xml:space="preserve">3.2 Conditions Precedent to all Credit Extensions. </w:t>
      </w:r>
      <w:r>
        <w:rPr>
          <w:rFonts w:ascii="Arial" w:cs="Arial" w:eastAsia="Arial" w:hAnsi="Arial"/>
          <w:sz w:val="18"/>
          <w:szCs w:val="18"/>
          <w:color w:val="auto"/>
        </w:rPr>
        <w:t>The obligation of each Lender to make each Credit Extension, including the initial Credit</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is subject to the following conditions precedent:</w:t>
      </w:r>
    </w:p>
    <w:p>
      <w:pPr>
        <w:spacing w:after="0" w:line="58" w:lineRule="exact"/>
        <w:rPr>
          <w:sz w:val="20"/>
          <w:szCs w:val="20"/>
          <w:color w:val="auto"/>
        </w:rPr>
      </w:pPr>
    </w:p>
    <w:p>
      <w:pPr>
        <w:ind w:left="1240" w:hanging="253"/>
        <w:spacing w:after="0"/>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receipt of an executed Loan Payment/Advance Request Form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117" w:lineRule="exact"/>
        <w:rPr>
          <w:rFonts w:ascii="Arial" w:cs="Arial" w:eastAsia="Arial" w:hAnsi="Arial"/>
          <w:sz w:val="18"/>
          <w:szCs w:val="18"/>
          <w:color w:val="auto"/>
        </w:rPr>
      </w:pPr>
    </w:p>
    <w:p>
      <w:pPr>
        <w:ind w:right="40" w:firstLine="987"/>
        <w:spacing w:after="0" w:line="289" w:lineRule="auto"/>
        <w:tabs>
          <w:tab w:leader="none" w:pos="124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representations and warranties in Section 5 hereof and the Debentures shall be true, accurate and complete in all material respects on the date of the Loan Payment/Advance Request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Section 5 hereof and the Debentures are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58" w:lineRule="exact"/>
        <w:rPr>
          <w:rFonts w:ascii="Arial" w:cs="Arial" w:eastAsia="Arial" w:hAnsi="Arial"/>
          <w:sz w:val="16"/>
          <w:szCs w:val="16"/>
          <w:color w:val="auto"/>
        </w:rPr>
      </w:pPr>
    </w:p>
    <w:p>
      <w:pPr>
        <w:ind w:right="120" w:firstLine="987"/>
        <w:spacing w:after="0" w:line="277" w:lineRule="auto"/>
        <w:tabs>
          <w:tab w:leader="none" w:pos="12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such Lender’s sole discretion, there has not been any Material Adverse Change or any material adverse deviation by Borrower from the Annual Projections of Borrower presented to and accepted by Collateral Agent and each Lender;</w:t>
      </w:r>
    </w:p>
    <w:p>
      <w:pPr>
        <w:spacing w:after="0" w:line="62" w:lineRule="exact"/>
        <w:rPr>
          <w:rFonts w:ascii="Arial" w:cs="Arial" w:eastAsia="Arial" w:hAnsi="Arial"/>
          <w:sz w:val="18"/>
          <w:szCs w:val="18"/>
          <w:color w:val="auto"/>
        </w:rPr>
      </w:pPr>
    </w:p>
    <w:p>
      <w:pPr>
        <w:ind w:firstLine="987"/>
        <w:spacing w:after="0" w:line="342" w:lineRule="auto"/>
        <w:tabs>
          <w:tab w:leader="none" w:pos="124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the extent not delivered at the Effective Date, duly executed Warrants, in number, form and content acceptable to each Lender, and in favor of each Lender according to its Commitment Percentage, with respect to each Credit Extension made by such Lender after the Effective Date; and</w:t>
      </w:r>
    </w:p>
    <w:p>
      <w:pPr>
        <w:spacing w:after="0" w:line="15" w:lineRule="exact"/>
        <w:rPr>
          <w:rFonts w:ascii="Arial" w:cs="Arial" w:eastAsia="Arial" w:hAnsi="Arial"/>
          <w:sz w:val="16"/>
          <w:szCs w:val="16"/>
          <w:color w:val="auto"/>
        </w:rPr>
      </w:pPr>
    </w:p>
    <w:p>
      <w:pPr>
        <w:ind w:left="1240" w:hanging="253"/>
        <w:spacing w:after="0"/>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2.5 hereof.</w:t>
      </w:r>
    </w:p>
    <w:p>
      <w:pPr>
        <w:spacing w:after="0" w:line="113" w:lineRule="exact"/>
        <w:rPr>
          <w:sz w:val="20"/>
          <w:szCs w:val="20"/>
          <w:color w:val="auto"/>
        </w:rPr>
      </w:pPr>
    </w:p>
    <w:p>
      <w:pPr>
        <w:ind w:right="20" w:firstLine="440"/>
        <w:spacing w:after="0" w:line="281" w:lineRule="auto"/>
        <w:rPr>
          <w:sz w:val="20"/>
          <w:szCs w:val="20"/>
          <w:color w:val="auto"/>
        </w:rPr>
      </w:pPr>
      <w:r>
        <w:rPr>
          <w:rFonts w:ascii="Arial" w:cs="Arial" w:eastAsia="Arial" w:hAnsi="Arial"/>
          <w:sz w:val="17"/>
          <w:szCs w:val="17"/>
          <w:b w:val="1"/>
          <w:bCs w:val="1"/>
          <w:color w:val="auto"/>
        </w:rPr>
        <w:t xml:space="preserve">3.3 Covenant to Deliver. </w:t>
      </w:r>
      <w:r>
        <w:rPr>
          <w:rFonts w:ascii="Arial" w:cs="Arial" w:eastAsia="Arial" w:hAnsi="Arial"/>
          <w:sz w:val="17"/>
          <w:szCs w:val="17"/>
          <w:color w:val="auto"/>
        </w:rPr>
        <w:t>Borrower agrees to deliver to Collateral Agent and the Lenders each item required to be delivered to Collateral Agent</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Agreement as a condition precedent to any Credit Extension. Borrower expressly agrees that a Credit Extension made prior to the receipt by Collateral Agent or any Lender of any such item shall not constitute a waiver by Collateral Agent or any Lender of Borrower’s obligation to deliver such item, and any such Credit Extension in the absence of a required item shall be made in each Lender’s sole discretion.</w:t>
      </w:r>
    </w:p>
    <w:p>
      <w:pPr>
        <w:spacing w:after="0" w:line="57" w:lineRule="exact"/>
        <w:rPr>
          <w:sz w:val="20"/>
          <w:szCs w:val="20"/>
          <w:color w:val="auto"/>
        </w:rPr>
      </w:pPr>
    </w:p>
    <w:p>
      <w:pPr>
        <w:ind w:right="40" w:firstLine="440"/>
        <w:spacing w:after="0" w:line="292" w:lineRule="auto"/>
        <w:rPr>
          <w:sz w:val="20"/>
          <w:szCs w:val="20"/>
          <w:color w:val="auto"/>
        </w:rPr>
      </w:pPr>
      <w:r>
        <w:rPr>
          <w:rFonts w:ascii="Arial" w:cs="Arial" w:eastAsia="Arial" w:hAnsi="Arial"/>
          <w:sz w:val="16"/>
          <w:szCs w:val="16"/>
          <w:b w:val="1"/>
          <w:bCs w:val="1"/>
          <w:color w:val="auto"/>
        </w:rPr>
        <w:t xml:space="preserve">3.4 Procedures for Borrowing. </w:t>
      </w:r>
      <w:r>
        <w:rPr>
          <w:rFonts w:ascii="Arial" w:cs="Arial" w:eastAsia="Arial" w:hAnsi="Arial"/>
          <w:sz w:val="16"/>
          <w:szCs w:val="16"/>
          <w:color w:val="auto"/>
        </w:rPr>
        <w:t>Subject to the prior satisfaction of all other applicable conditions to the making of a Term Loan set forth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to obtain a Term Loan, Borrower shall notify the Lenders (which notice shall be irrevocable) by electronic mail, facsimile, or telephone by 12:00 noon Eastern time at least one (1) Business Day prior to the date the Term A Loan is to be made and five (5) Business Days prior to the date the Term B Loan is to be made. Together with any such electronic, facsimile or telephonic notification, Borrower shall deliver to the Lenders by electronic mail or facsimile a completed Loan Payment/Advance Request Form executed by a Responsible Officer or his or her designee. The Lenders may rely on any telephone notice given by a person whom a Lender reasonably believes is a Responsible Officer or designee. On the Funding Date, each Lender shall credit and/or transfer (as applicable) to the Designated Deposit Account, an amount equal to its Term Loan Commitment.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8" w:name="page19"/>
    <w:bookmarkEnd w:id="18"/>
    <w:p>
      <w:pPr>
        <w:ind w:left="424" w:hanging="424"/>
        <w:spacing w:after="0"/>
        <w:tabs>
          <w:tab w:leader="none" w:pos="424"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CREATION OF SECURITY INTEREST</w:t>
      </w:r>
    </w:p>
    <w:p>
      <w:pPr>
        <w:spacing w:after="0" w:line="117"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b w:val="1"/>
          <w:bCs w:val="1"/>
          <w:color w:val="auto"/>
        </w:rPr>
        <w:t xml:space="preserve">4.1 Grant of Security Interest. </w:t>
      </w:r>
      <w:r>
        <w:rPr>
          <w:rFonts w:ascii="Arial" w:cs="Arial" w:eastAsia="Arial" w:hAnsi="Arial"/>
          <w:sz w:val="17"/>
          <w:szCs w:val="17"/>
          <w:color w:val="auto"/>
        </w:rPr>
        <w:t>Borrower hereby grants Collateral Agent, for the ratable benefit of the Lenders, to secure the payment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in full of all of the Obligations, a continuing security interest in, and pledges to Collateral Agent, for the ratable benefit of the Lenders, the Collateral, wherever located, whether now owned or hereafter acquired or arising, and all proceeds and products thereof. Borrower represents, warrants, and covenants that the security interest granted herein is and shall at all times continue to be a first priority perfected security interest in the Collateral, subject only to Permitted Liens that are permitted by the terms of this Agreement to have priority to Collateral Agent’s Lien. If Borrower shall acquire a commercial tort claim (as defined in the Code), Borrower, shall promptly notify Collateral Agent in a writing signed by Borrower, as the case may be, of the general details thereof (and further details as may be required by Collateral Agent) and grant to Collateral Agent, for the ratable benefit of the Lenders, in such writing a security interest therein and in the proceeds thereof, all upon the terms of this Agreement, with such writing to be in form and substance reasonably satisfactory to Collateral Agent.</w:t>
      </w:r>
    </w:p>
    <w:p>
      <w:pPr>
        <w:spacing w:after="0" w:line="178" w:lineRule="exact"/>
        <w:rPr>
          <w:sz w:val="20"/>
          <w:szCs w:val="20"/>
          <w:color w:val="auto"/>
        </w:rPr>
      </w:pPr>
    </w:p>
    <w:p>
      <w:pPr>
        <w:ind w:left="4" w:right="100" w:firstLine="440"/>
        <w:spacing w:after="0" w:line="255" w:lineRule="auto"/>
        <w:rPr>
          <w:sz w:val="20"/>
          <w:szCs w:val="20"/>
          <w:color w:val="auto"/>
        </w:rPr>
      </w:pPr>
      <w:r>
        <w:rPr>
          <w:rFonts w:ascii="Arial" w:cs="Arial" w:eastAsia="Arial" w:hAnsi="Arial"/>
          <w:sz w:val="18"/>
          <w:szCs w:val="18"/>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and by the Debentures and any and all other security agreements, mortgages or other collateral granted to Collateral Agent by Borrower as security for the Obligations, now or in the future (subject only to Permitted Liens that may have superiority to Bank’s Lien in this Agreement).</w:t>
      </w:r>
    </w:p>
    <w:p>
      <w:pPr>
        <w:spacing w:after="0" w:line="192" w:lineRule="exact"/>
        <w:rPr>
          <w:sz w:val="20"/>
          <w:szCs w:val="20"/>
          <w:color w:val="auto"/>
        </w:rPr>
      </w:pPr>
    </w:p>
    <w:p>
      <w:pPr>
        <w:ind w:left="4" w:right="20" w:firstLine="440"/>
        <w:spacing w:after="0" w:line="288" w:lineRule="auto"/>
        <w:rPr>
          <w:sz w:val="20"/>
          <w:szCs w:val="20"/>
          <w:color w:val="auto"/>
        </w:rPr>
      </w:pPr>
      <w:r>
        <w:rPr>
          <w:rFonts w:ascii="Arial" w:cs="Arial" w:eastAsia="Arial" w:hAnsi="Arial"/>
          <w:sz w:val="16"/>
          <w:szCs w:val="16"/>
          <w:color w:val="auto"/>
        </w:rPr>
        <w:t>If this Agreement is terminated, Collateral Agent’s Lien in the Collateral shall continue until the Obligations (other than inchoate indemnity obligations) are repaid in full in cash. Upon payment in full in cash of the Obligations (other than inchoate indemnity obligations) and at such time as the Lenders’ obligation to make Credit Extensions has terminated, Collateral Agent shall, at the sole cost and expense of Borrower, release its Liens in the Collateral and all rights therein shall revert to Borrower. In the event (x) all Obligations (other than inchoate indemnity obligations), except for Bank Services, are satisfied in full, and (y) this Agreement is terminated, Bank shall terminate the security interest granted herein upon Borrower providing cash collateral acceptable to Bank in its good faith business judgment for Bank Services, if any. In the event such Bank Services consist of outstanding Letters of Credit, Borrower shall provide to Bank cash collateral in an amount equal to (x) if such Letters of Credit are denominated in Dollars, then one hundred three percent (103%); and (y) if such Letters of Credit are denominated in a Foreign Currency, then one hundred five percent (105%), of the Dollar Equivalent of the face amount of all such Letters of Credit plus all interest, fees, and costs due or to become due in connection therewith (as estimated by Bank in its good faith business judgment), to secure all of the Obligations relating to such Letters of Credit.</w:t>
      </w:r>
    </w:p>
    <w:p>
      <w:pPr>
        <w:spacing w:after="0" w:line="56" w:lineRule="exact"/>
        <w:rPr>
          <w:sz w:val="20"/>
          <w:szCs w:val="20"/>
          <w:color w:val="auto"/>
        </w:rPr>
      </w:pPr>
    </w:p>
    <w:p>
      <w:pPr>
        <w:ind w:left="4" w:right="140" w:firstLine="440"/>
        <w:spacing w:after="0" w:line="303" w:lineRule="auto"/>
        <w:rPr>
          <w:sz w:val="20"/>
          <w:szCs w:val="20"/>
          <w:color w:val="auto"/>
        </w:rPr>
      </w:pPr>
      <w:r>
        <w:rPr>
          <w:rFonts w:ascii="Arial" w:cs="Arial" w:eastAsia="Arial" w:hAnsi="Arial"/>
          <w:sz w:val="16"/>
          <w:szCs w:val="16"/>
          <w:b w:val="1"/>
          <w:bCs w:val="1"/>
          <w:color w:val="auto"/>
        </w:rPr>
        <w:t xml:space="preserve">4.2 Authorization to File Financing Statements. </w:t>
      </w:r>
      <w:r>
        <w:rPr>
          <w:rFonts w:ascii="Arial" w:cs="Arial" w:eastAsia="Arial" w:hAnsi="Arial"/>
          <w:sz w:val="16"/>
          <w:szCs w:val="16"/>
          <w:color w:val="auto"/>
        </w:rPr>
        <w:t>Borrower hereby authorizes Collateral Agent to file financing statements or take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action required to perfect Collateral Agent’s security interests in the Collateral, without notice to Borrower, with all appropriate jurisdictions to perfect or protect Collateral Agent’s interest or rights under the Loan Documents, including a notice that any disposition of the Collateral, except to the extent permitted by the terms of this Agreement, by Borrower, or any other Person, shall be deemed to violate the rights of Collateral Agent under the Code.</w:t>
      </w:r>
    </w:p>
    <w:p>
      <w:pPr>
        <w:spacing w:after="0" w:line="43" w:lineRule="exact"/>
        <w:rPr>
          <w:sz w:val="20"/>
          <w:szCs w:val="20"/>
          <w:color w:val="auto"/>
        </w:rPr>
      </w:pPr>
    </w:p>
    <w:p>
      <w:pPr>
        <w:ind w:left="4" w:right="80" w:firstLine="440"/>
        <w:spacing w:after="0" w:line="292" w:lineRule="auto"/>
        <w:rPr>
          <w:sz w:val="20"/>
          <w:szCs w:val="20"/>
          <w:color w:val="auto"/>
        </w:rPr>
      </w:pPr>
      <w:r>
        <w:rPr>
          <w:rFonts w:ascii="Arial" w:cs="Arial" w:eastAsia="Arial" w:hAnsi="Arial"/>
          <w:sz w:val="16"/>
          <w:szCs w:val="16"/>
          <w:b w:val="1"/>
          <w:bCs w:val="1"/>
          <w:color w:val="auto"/>
        </w:rPr>
        <w:t xml:space="preserve">4.3 Pledge of Collateral. </w:t>
      </w:r>
      <w:r>
        <w:rPr>
          <w:rFonts w:ascii="Arial" w:cs="Arial" w:eastAsia="Arial" w:hAnsi="Arial"/>
          <w:sz w:val="16"/>
          <w:szCs w:val="16"/>
          <w:color w:val="auto"/>
        </w:rPr>
        <w:t>Borrower hereby pledges, assigns and grants to Collateral Agent, for the ratable benefit of the Lenders, a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in all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Effective Date, or, to the extent not certificated as of the Effective Date, within ten (10) days of the certification of any Shares, the certificate or certificates for the Shares will be delivered to Collateral Agent, accompanied by an instrument of assignment duly executed in blank by Borrower. To the extent required by the terms and conditions governing the Shares, Borrower shall cause the books of each entity whose Shares are part of the Collateral and any transfer agent to reflect the pledge of the Shares. Upon the occurrence and during the continuance</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0" w:right="479" w:bottom="1440" w:gutter="0" w:footer="0" w:header="0"/>
        </w:sectPr>
      </w:pPr>
    </w:p>
    <w:bookmarkStart w:id="19" w:name="page20"/>
    <w:bookmarkEnd w:id="19"/>
    <w:p>
      <w:pPr>
        <w:ind w:left="4"/>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an Event of Default hereunder, Collateral Agent may effect the transfer of any securities included in the Collateral (including but not limited to the Shares) into the name of Collateral Agent and cause new (as applicable) certificates representing such securities to be issued in the name of Collateral Agent or its transferee. Borrower will execute and deliver such documents, and take or cause to be taken such actions, as Collateral Agent may reasonably request to perfect or continue the perfection of Collateral Agent’s security interest in the Shares. Unless an Event of Default shall have occurred and be continuing, Borrower shall be entitled to exercise any voting rights with respect to the Shares and to give consents, waivers and ratifications in respect thereof, provided that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the occurrence and continuance of an Event of Default.</w:t>
      </w:r>
    </w:p>
    <w:p>
      <w:pPr>
        <w:spacing w:after="0" w:line="66" w:lineRule="exact"/>
        <w:rPr>
          <w:sz w:val="20"/>
          <w:szCs w:val="20"/>
          <w:color w:val="auto"/>
        </w:rPr>
      </w:pPr>
    </w:p>
    <w:p>
      <w:pPr>
        <w:ind w:left="4" w:right="80" w:firstLine="440"/>
        <w:spacing w:after="0" w:line="269" w:lineRule="auto"/>
        <w:rPr>
          <w:sz w:val="20"/>
          <w:szCs w:val="20"/>
          <w:color w:val="auto"/>
        </w:rPr>
      </w:pPr>
      <w:r>
        <w:rPr>
          <w:rFonts w:ascii="Arial" w:cs="Arial" w:eastAsia="Arial" w:hAnsi="Arial"/>
          <w:sz w:val="17"/>
          <w:szCs w:val="17"/>
          <w:b w:val="1"/>
          <w:bCs w:val="1"/>
          <w:color w:val="auto"/>
        </w:rPr>
        <w:t>4.4 Debentures</w:t>
      </w:r>
      <w:r>
        <w:rPr>
          <w:rFonts w:ascii="Arial" w:cs="Arial" w:eastAsia="Arial" w:hAnsi="Arial"/>
          <w:sz w:val="17"/>
          <w:szCs w:val="17"/>
          <w:color w:val="auto"/>
        </w:rPr>
        <w:t>. Borrower undertakes to create, in favor of Collateral Agent, a first ranking floating charge over all of the present and future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assets of 89Bio Israel whether now existing or hereafter created (other than Intellectual Property), and a first ranking fixed charge over 89Bio Israel’s registered and unissued share capital, its reputation and goodwill, Accounts, its rights to receive funds from its customers and other fixed assets and any tax benefit it may have, in accordance with a debenture of floating charge and fixed charge in the form of debenture attached as </w:t>
      </w:r>
      <w:r>
        <w:rPr>
          <w:rFonts w:ascii="Arial" w:cs="Arial" w:eastAsia="Arial" w:hAnsi="Arial"/>
          <w:sz w:val="17"/>
          <w:szCs w:val="17"/>
          <w:b w:val="1"/>
          <w:bCs w:val="1"/>
          <w:u w:val="single" w:color="auto"/>
          <w:color w:val="auto"/>
        </w:rPr>
        <w:t>Exhibit D</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D-1</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respectively (as amended, modified or restated from time to time, jointly, the “</w:t>
      </w:r>
      <w:r>
        <w:rPr>
          <w:rFonts w:ascii="Arial" w:cs="Arial" w:eastAsia="Arial" w:hAnsi="Arial"/>
          <w:sz w:val="17"/>
          <w:szCs w:val="17"/>
          <w:b w:val="1"/>
          <w:bCs w:val="1"/>
          <w:color w:val="auto"/>
        </w:rPr>
        <w:t>Debentures</w:t>
      </w:r>
      <w:r>
        <w:rPr>
          <w:rFonts w:ascii="Arial" w:cs="Arial" w:eastAsia="Arial" w:hAnsi="Arial"/>
          <w:sz w:val="17"/>
          <w:szCs w:val="17"/>
          <w:color w:val="auto"/>
        </w:rPr>
        <w:t>” and each, an “</w:t>
      </w:r>
      <w:r>
        <w:rPr>
          <w:rFonts w:ascii="Arial" w:cs="Arial" w:eastAsia="Arial" w:hAnsi="Arial"/>
          <w:sz w:val="17"/>
          <w:szCs w:val="17"/>
          <w:b w:val="1"/>
          <w:bCs w:val="1"/>
          <w:color w:val="auto"/>
        </w:rPr>
        <w:t>Debenture</w:t>
      </w:r>
      <w:r>
        <w:rPr>
          <w:rFonts w:ascii="Arial" w:cs="Arial" w:eastAsia="Arial" w:hAnsi="Arial"/>
          <w:sz w:val="17"/>
          <w:szCs w:val="17"/>
          <w:color w:val="auto"/>
        </w:rPr>
        <w:t>”). In addition, 89Bio Israel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undertakes to create within twenty (20) days of the end of each financial quarter, and more often if requested at the sole and absolute discretion of Collateral Agent, a first ranking fixed charge over (i) each Account which is outstanding at such time, and with respect of which Advances are or have been made, (ii) 89Bio Israel’s rights, whether then existing or thereafter created, to receive funds from its customers and (iii) 89Bio Israel’s Equipment, all in accordance with a debenture of fixed charge in the form of the debenture attached hereto as </w:t>
      </w:r>
      <w:r>
        <w:rPr>
          <w:rFonts w:ascii="Arial" w:cs="Arial" w:eastAsia="Arial" w:hAnsi="Arial"/>
          <w:sz w:val="17"/>
          <w:szCs w:val="17"/>
          <w:b w:val="1"/>
          <w:bCs w:val="1"/>
          <w:u w:val="single" w:color="auto"/>
          <w:color w:val="auto"/>
        </w:rPr>
        <w:t>Exhibit D-1</w:t>
      </w:r>
      <w:r>
        <w:rPr>
          <w:rFonts w:ascii="Arial" w:cs="Arial" w:eastAsia="Arial" w:hAnsi="Arial"/>
          <w:sz w:val="17"/>
          <w:szCs w:val="17"/>
          <w:color w:val="auto"/>
        </w:rPr>
        <w:t>) (or in the form of an amendment to the existing Debenture, at the Collateral Agent’s discretion; each such new and/or amended debenture shall also be included in the definition of the term “</w:t>
      </w:r>
      <w:r>
        <w:rPr>
          <w:rFonts w:ascii="Arial" w:cs="Arial" w:eastAsia="Arial" w:hAnsi="Arial"/>
          <w:sz w:val="17"/>
          <w:szCs w:val="17"/>
          <w:b w:val="1"/>
          <w:bCs w:val="1"/>
          <w:color w:val="auto"/>
        </w:rPr>
        <w:t>Debenture</w:t>
      </w:r>
      <w:r>
        <w:rPr>
          <w:rFonts w:ascii="Arial" w:cs="Arial" w:eastAsia="Arial" w:hAnsi="Arial"/>
          <w:sz w:val="17"/>
          <w:szCs w:val="17"/>
          <w:color w:val="auto"/>
        </w:rPr>
        <w:t>” herein). Borrower warrants and represents that the charges of the Debentures, upon the filing thereof, shall be first priority fixed and floating charges (as provided therein) in the Collateral.</w:t>
      </w:r>
    </w:p>
    <w:p>
      <w:pPr>
        <w:spacing w:after="0" w:line="183"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In addition to and without limiting the foregoing, all Obligations shall also be secured by (a) any and all properties, rights and assets of 89Bio Israel granted by 89Bio Israel to Collateral Agent now, or in the future, in which 89Bio Israel obtains an interest, or the power to transfer rights in, including, without limitation, the Charged Property as set forth in the Debentures, and (b) any and all security agreements, mortgages or other collateral agreements granted by 89Bio Israel to Collateral Agent, now or in the future.</w:t>
      </w:r>
    </w:p>
    <w:p>
      <w:pPr>
        <w:spacing w:after="0" w:line="210" w:lineRule="exact"/>
        <w:rPr>
          <w:sz w:val="20"/>
          <w:szCs w:val="20"/>
          <w:color w:val="auto"/>
        </w:rPr>
      </w:pPr>
    </w:p>
    <w:p>
      <w:pPr>
        <w:ind w:left="424" w:hanging="424"/>
        <w:spacing w:after="0"/>
        <w:tabs>
          <w:tab w:leader="none" w:pos="42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Borrower represents and warrants to Collateral Agent and the Lenders as follows:</w:t>
      </w:r>
    </w:p>
    <w:p>
      <w:pPr>
        <w:spacing w:after="0" w:line="113" w:lineRule="exact"/>
        <w:rPr>
          <w:sz w:val="20"/>
          <w:szCs w:val="20"/>
          <w:color w:val="auto"/>
        </w:rPr>
      </w:pPr>
    </w:p>
    <w:p>
      <w:pPr>
        <w:ind w:left="4" w:right="20" w:firstLine="440"/>
        <w:spacing w:after="0" w:line="283" w:lineRule="auto"/>
        <w:rPr>
          <w:sz w:val="20"/>
          <w:szCs w:val="20"/>
          <w:color w:val="auto"/>
        </w:rPr>
      </w:pPr>
      <w:r>
        <w:rPr>
          <w:rFonts w:ascii="Arial" w:cs="Arial" w:eastAsia="Arial" w:hAnsi="Arial"/>
          <w:sz w:val="16"/>
          <w:szCs w:val="16"/>
          <w:b w:val="1"/>
          <w:bCs w:val="1"/>
          <w:color w:val="auto"/>
        </w:rPr>
        <w:t xml:space="preserve">5.1 Due Organization, Authorization: Power and Authority. </w:t>
      </w:r>
      <w:r>
        <w:rPr>
          <w:rFonts w:ascii="Arial" w:cs="Arial" w:eastAsia="Arial" w:hAnsi="Arial"/>
          <w:sz w:val="16"/>
          <w:szCs w:val="16"/>
          <w:color w:val="auto"/>
        </w:rPr>
        <w:t>Borrower and each of its Subsidiaries is duly existing and (in such jurisdictions</w:t>
      </w:r>
      <w:r>
        <w:rPr>
          <w:rFonts w:ascii="Arial" w:cs="Arial" w:eastAsia="Arial" w:hAnsi="Arial"/>
          <w:sz w:val="16"/>
          <w:szCs w:val="16"/>
          <w:b w:val="1"/>
          <w:bCs w:val="1"/>
          <w:color w:val="auto"/>
        </w:rPr>
        <w:t xml:space="preserve"> </w:t>
      </w:r>
      <w:r>
        <w:rPr>
          <w:rFonts w:ascii="Arial" w:cs="Arial" w:eastAsia="Arial" w:hAnsi="Arial"/>
          <w:sz w:val="16"/>
          <w:szCs w:val="16"/>
          <w:color w:val="auto"/>
        </w:rPr>
        <w:t>where applicable) in good standing as a Registered Organization in its jurisdictions of organization or formation, 89Bio Israel is not a “</w:t>
      </w:r>
      <w:r>
        <w:rPr>
          <w:rFonts w:ascii="Arial" w:cs="Arial" w:eastAsia="Arial" w:hAnsi="Arial"/>
          <w:sz w:val="16"/>
          <w:szCs w:val="16"/>
          <w:i w:val="1"/>
          <w:iCs w:val="1"/>
          <w:color w:val="auto"/>
        </w:rPr>
        <w:t>breaching</w:t>
      </w:r>
      <w:r>
        <w:rPr>
          <w:rFonts w:ascii="Arial" w:cs="Arial" w:eastAsia="Arial" w:hAnsi="Arial"/>
          <w:sz w:val="16"/>
          <w:szCs w:val="16"/>
          <w:color w:val="auto"/>
        </w:rPr>
        <w:t xml:space="preserve"> </w:t>
      </w:r>
      <w:r>
        <w:rPr>
          <w:rFonts w:ascii="Arial" w:cs="Arial" w:eastAsia="Arial" w:hAnsi="Arial"/>
          <w:sz w:val="16"/>
          <w:szCs w:val="16"/>
          <w:i w:val="1"/>
          <w:iCs w:val="1"/>
          <w:color w:val="auto"/>
        </w:rPr>
        <w:t>company</w:t>
      </w:r>
      <w:r>
        <w:rPr>
          <w:rFonts w:ascii="Arial" w:cs="Arial" w:eastAsia="Arial" w:hAnsi="Arial"/>
          <w:sz w:val="16"/>
          <w:szCs w:val="16"/>
          <w:color w:val="auto"/>
        </w:rPr>
        <w:t>” (as such term is defined under the Israeli Companies Law 1999) and Borrower and each of its Subsidiaries is qualified and licensed to do</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and is in good standing in any jurisdiction in which the conduct of its businesses or its ownership of property requires that it be qualified except where the failure to do so could not reasonably be expected to have a Material Adverse Change. In connection with this Agreement, Borrower and each of its Subsidiaries has delivered to Collateral Agent a completed perfection certificate signed by an officer of Borrower or such Subsidiary (each a “</w:t>
      </w:r>
      <w:r>
        <w:rPr>
          <w:rFonts w:ascii="Arial" w:cs="Arial" w:eastAsia="Arial" w:hAnsi="Arial"/>
          <w:sz w:val="16"/>
          <w:szCs w:val="16"/>
          <w:b w:val="1"/>
          <w:bCs w:val="1"/>
          <w:color w:val="auto"/>
        </w:rPr>
        <w:t>Perfection Certificate</w:t>
      </w:r>
      <w:r>
        <w:rPr>
          <w:rFonts w:ascii="Arial" w:cs="Arial" w:eastAsia="Arial" w:hAnsi="Arial"/>
          <w:sz w:val="16"/>
          <w:szCs w:val="16"/>
          <w:color w:val="auto"/>
        </w:rPr>
        <w:t>” and collectively, the “</w:t>
      </w:r>
      <w:r>
        <w:rPr>
          <w:rFonts w:ascii="Arial" w:cs="Arial" w:eastAsia="Arial" w:hAnsi="Arial"/>
          <w:sz w:val="16"/>
          <w:szCs w:val="16"/>
          <w:b w:val="1"/>
          <w:bCs w:val="1"/>
          <w:color w:val="auto"/>
        </w:rPr>
        <w:t>Perfection Certificates</w:t>
      </w:r>
      <w:r>
        <w:rPr>
          <w:rFonts w:ascii="Arial" w:cs="Arial" w:eastAsia="Arial" w:hAnsi="Arial"/>
          <w:sz w:val="16"/>
          <w:szCs w:val="16"/>
          <w:color w:val="auto"/>
        </w:rPr>
        <w:t>”). Borrower represents and warrants that (a) Borrower and each of its Subsidiaries’ exact legal name is that which is indicated on its respective Perfection Certificate and on the signature page of each Loan Document to which it is a party; (b) Borrower and each of its Subsidiaries is an organization of the type and is organized in the jurisdiction set forth on its respective Perfection Certificate; (c) each Perfection Certificate accurately sets forth each of Borrower’s and its Subsidiaries’ organizational identification number or accurately states that Borrower or such Subsidiary has none; (d) each Perfection Certificate accurately sets forth Borrower’s and each of its Subsidiaries’ place of business, or, if more than one, its chief executive office as well as Borrower’s and each of its Subsidiaries’ mailing address (if different than its chief executive office); (e) Borrower and each of its Subsidiaries (and each of its respective predecessors) have not, in the past five</w:t>
      </w:r>
    </w:p>
    <w:p>
      <w:pPr>
        <w:spacing w:after="0" w:line="6" w:lineRule="exact"/>
        <w:rPr>
          <w:sz w:val="20"/>
          <w:szCs w:val="20"/>
          <w:color w:val="auto"/>
        </w:rPr>
      </w:pPr>
    </w:p>
    <w:p>
      <w:pPr>
        <w:ind w:left="4" w:right="140" w:hanging="4"/>
        <w:spacing w:after="0" w:line="260" w:lineRule="auto"/>
        <w:tabs>
          <w:tab w:leader="none" w:pos="2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years, changed its jurisdiction of organization, organizational structure or type, or any organizational number assigned by its jurisdiction, other than as set forth on the Perfection Certificate; and (f) all other information set forth on the Perfection Certificates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20" w:name="page21"/>
    <w:bookmarkEnd w:id="20"/>
    <w:p>
      <w:pPr>
        <w:ind w:left="4"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pertaining to Borrower and each of its Subsidiaries, is accurate and complete (it being understood and agreed that Borrower and each of its Subsidiaries may from time to time update certain information in the Perfection Certificates (including the information set forth in clause (d) above) after the Effective Date to the extent permitted by one or more specific provisions in this Agreement); such updated Perfection Certificates subject to the review and approval of Collateral Agent. If Borrower or any of its Subsidiaries is not now a Registered Organization but later becomes one, Borrower shall notify Collateral Agent of such occurrence and provide Collateral Agent with such Person’s organizational identification number within five (5) Business Days of receiving such organizational identification number.</w:t>
      </w:r>
    </w:p>
    <w:p>
      <w:pPr>
        <w:spacing w:after="0" w:line="178" w:lineRule="exact"/>
        <w:rPr>
          <w:sz w:val="20"/>
          <w:szCs w:val="20"/>
          <w:color w:val="auto"/>
        </w:rPr>
      </w:pPr>
    </w:p>
    <w:p>
      <w:pPr>
        <w:ind w:left="4" w:right="260" w:firstLine="440"/>
        <w:spacing w:after="0" w:line="287" w:lineRule="auto"/>
        <w:rPr>
          <w:sz w:val="20"/>
          <w:szCs w:val="20"/>
          <w:color w:val="auto"/>
        </w:rPr>
      </w:pPr>
      <w:r>
        <w:rPr>
          <w:rFonts w:ascii="Arial" w:cs="Arial" w:eastAsia="Arial" w:hAnsi="Arial"/>
          <w:sz w:val="16"/>
          <w:szCs w:val="16"/>
          <w:color w:val="auto"/>
        </w:rPr>
        <w:t>The execution, delivery and performance by Borrower and each of its Subsidiaries (as applicable) of the Loan Documents to which it is a party have been duly authorized, and do not (i) conflict with any of Borrower’s or such Subsidiaries’ organizational documents, including its respective Operating Documents, (ii) contravene, conflict with, constitute a default under or violate any material Requirement of Law applicable thereto,</w:t>
      </w:r>
    </w:p>
    <w:p>
      <w:pPr>
        <w:spacing w:after="0" w:line="2" w:lineRule="exact"/>
        <w:rPr>
          <w:sz w:val="20"/>
          <w:szCs w:val="20"/>
          <w:color w:val="auto"/>
        </w:rPr>
      </w:pPr>
    </w:p>
    <w:p>
      <w:pPr>
        <w:ind w:left="4" w:hanging="4"/>
        <w:spacing w:after="0" w:line="269" w:lineRule="auto"/>
        <w:tabs>
          <w:tab w:leader="none" w:pos="319"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contravene, conflict or violate any applicable order, writ, judgment, injunction, decree, determination or award of any Governmental Authority by which Borrower or such Subsidiary, or any of their property or assets may be bound or affected, (iv) require any action by, filing, registration (except for the registration of the Debentures with the Israel Companies Registrar), or qualification with, or Governmental Approval from, any Governmental Authority (except such Governmental Approvals which have already been obtained and are in full force and effect) or are being obtained pursuant to Section 6.1(b), or (v) constitute an event of default under any material agreement by which Borrower or any of such Subsidiaries, or their respective properties, is bound. Neither Borrower nor any of its Subsidiaries is in default under any agreement to which it is a party or by which it or any of its assets is bound in which such default could reasonably be expected to have a Material Adverse Change.</w:t>
      </w:r>
    </w:p>
    <w:p>
      <w:pPr>
        <w:spacing w:after="0" w:line="6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5.2 Collateral.</w:t>
      </w:r>
    </w:p>
    <w:p>
      <w:pPr>
        <w:spacing w:after="0" w:line="121" w:lineRule="exact"/>
        <w:rPr>
          <w:sz w:val="20"/>
          <w:szCs w:val="20"/>
          <w:color w:val="auto"/>
        </w:rPr>
      </w:pPr>
    </w:p>
    <w:p>
      <w:pPr>
        <w:ind w:left="4" w:right="120" w:firstLine="987"/>
        <w:spacing w:after="0" w:line="272" w:lineRule="auto"/>
        <w:tabs>
          <w:tab w:leader="none" w:pos="12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Borrower and each its Subsidiaries (as applicable) have good title to, have rights in, and the power to transfer each item of the Collateral upon which it purports to grant a Lien under the Debentures and other Loan Documents, free and clear of any and all Liens except Permitted Liens, and no Borrower nor any of its Subsidiaries has any Deposit Accounts, Securities Accounts, Commodity Accounts or other investment accounts other than the Collateral Accounts or the other investment accounts, if any, described in the Perfection Certificates delivered to Collateral Agent in connection herewith with respect of which Borrower or such Subsidiary has given Collateral Agent notice and taken such actions as are necessary to give Collateral Agent a perfected security interest therein and, as provided in the Debentures, fixed and floating charges thereof (except for Excluded Deposit Accounts). The Accounts are bona fide, existing obligations of the Account Debtors.</w:t>
      </w:r>
    </w:p>
    <w:p>
      <w:pPr>
        <w:spacing w:after="0" w:line="69" w:lineRule="exact"/>
        <w:rPr>
          <w:rFonts w:ascii="Arial" w:cs="Arial" w:eastAsia="Arial" w:hAnsi="Arial"/>
          <w:sz w:val="17"/>
          <w:szCs w:val="17"/>
          <w:color w:val="auto"/>
        </w:rPr>
      </w:pPr>
    </w:p>
    <w:p>
      <w:pPr>
        <w:ind w:left="1244" w:hanging="253"/>
        <w:spacing w:after="0"/>
        <w:tabs>
          <w:tab w:leader="none" w:pos="1244" w:val="left"/>
        </w:tabs>
        <w:numPr>
          <w:ilvl w:val="1"/>
          <w:numId w:val="31"/>
        </w:numPr>
        <w:rPr>
          <w:rFonts w:ascii="Arial" w:cs="Arial" w:eastAsia="Arial" w:hAnsi="Arial"/>
          <w:sz w:val="17"/>
          <w:szCs w:val="17"/>
          <w:color w:val="auto"/>
        </w:rPr>
      </w:pPr>
      <w:r>
        <w:rPr>
          <w:rFonts w:ascii="Arial" w:cs="Arial" w:eastAsia="Arial" w:hAnsi="Arial"/>
          <w:sz w:val="17"/>
          <w:szCs w:val="17"/>
          <w:color w:val="auto"/>
        </w:rPr>
        <w:t>On the Effective Date, and except as disclosed on the Perfection Certificate the Collateral (other than (1) inventory in transit,</w:t>
      </w:r>
    </w:p>
    <w:p>
      <w:pPr>
        <w:spacing w:after="0" w:line="34" w:lineRule="exact"/>
        <w:rPr>
          <w:rFonts w:ascii="Arial" w:cs="Arial" w:eastAsia="Arial" w:hAnsi="Arial"/>
          <w:sz w:val="17"/>
          <w:szCs w:val="17"/>
          <w:color w:val="auto"/>
        </w:rPr>
      </w:pPr>
    </w:p>
    <w:p>
      <w:pPr>
        <w:ind w:left="4" w:right="300" w:hanging="4"/>
        <w:spacing w:after="0" w:line="281" w:lineRule="auto"/>
        <w:tabs>
          <w:tab w:leader="none" w:pos="259" w:val="left"/>
        </w:tabs>
        <w:numPr>
          <w:ilvl w:val="0"/>
          <w:numId w:val="32"/>
        </w:numPr>
        <w:rPr>
          <w:rFonts w:ascii="Arial" w:cs="Arial" w:eastAsia="Arial" w:hAnsi="Arial"/>
          <w:sz w:val="16"/>
          <w:szCs w:val="16"/>
          <w:color w:val="auto"/>
        </w:rPr>
      </w:pPr>
      <w:r>
        <w:rPr>
          <w:rFonts w:ascii="Arial" w:cs="Arial" w:eastAsia="Arial" w:hAnsi="Arial"/>
          <w:sz w:val="16"/>
          <w:szCs w:val="16"/>
          <w:color w:val="auto"/>
        </w:rPr>
        <w:t>mobile goods and equipment, and (3) locations with Collateral having an aggregate Book Value not in excess of Two Hundred Fifty Thousand Dollard ($250,000.00)) is not in the possession of any third party bailee (such as a warehouse). None of the components of the Collateral (other than</w:t>
      </w:r>
    </w:p>
    <w:p>
      <w:pPr>
        <w:spacing w:after="0" w:line="1" w:lineRule="exact"/>
        <w:rPr>
          <w:rFonts w:ascii="Arial" w:cs="Arial" w:eastAsia="Arial" w:hAnsi="Arial"/>
          <w:sz w:val="16"/>
          <w:szCs w:val="16"/>
          <w:color w:val="auto"/>
        </w:rPr>
      </w:pPr>
    </w:p>
    <w:p>
      <w:pPr>
        <w:ind w:left="4" w:right="220" w:hanging="4"/>
        <w:spacing w:after="0" w:line="255" w:lineRule="auto"/>
        <w:tabs>
          <w:tab w:leader="none" w:pos="2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inventory in transit, (2) mobile goods and equipment, and (3) locations with Collateral having an aggregate Book Value not in excess of Two Hundred Fifty Thousand Dollars ($250,000.00)) shall be maintained at locations other than as disclosed in the Perfection Certificates on the Effective Date or locations permitted pursuant to Section 6.11.</w:t>
      </w:r>
    </w:p>
    <w:p>
      <w:pPr>
        <w:spacing w:after="0" w:line="81" w:lineRule="exact"/>
        <w:rPr>
          <w:rFonts w:ascii="Arial" w:cs="Arial" w:eastAsia="Arial" w:hAnsi="Arial"/>
          <w:sz w:val="18"/>
          <w:szCs w:val="18"/>
          <w:color w:val="auto"/>
        </w:rPr>
      </w:pPr>
    </w:p>
    <w:p>
      <w:pPr>
        <w:ind w:left="1244" w:hanging="253"/>
        <w:spacing w:after="0"/>
        <w:tabs>
          <w:tab w:leader="none" w:pos="124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Inventory is in all material respects of good and marketable quality, free from material defects.</w:t>
      </w:r>
    </w:p>
    <w:p>
      <w:pPr>
        <w:spacing w:after="0" w:line="117" w:lineRule="exact"/>
        <w:rPr>
          <w:rFonts w:ascii="Arial" w:cs="Arial" w:eastAsia="Arial" w:hAnsi="Arial"/>
          <w:sz w:val="18"/>
          <w:szCs w:val="18"/>
          <w:color w:val="auto"/>
        </w:rPr>
      </w:pPr>
    </w:p>
    <w:p>
      <w:pPr>
        <w:ind w:left="4" w:right="20" w:firstLine="987"/>
        <w:spacing w:after="0" w:line="284" w:lineRule="auto"/>
        <w:tabs>
          <w:tab w:leader="none" w:pos="1250" w:val="left"/>
        </w:tabs>
        <w:numPr>
          <w:ilvl w:val="1"/>
          <w:numId w:val="33"/>
        </w:numPr>
        <w:rPr>
          <w:rFonts w:ascii="Arial" w:cs="Arial" w:eastAsia="Arial" w:hAnsi="Arial"/>
          <w:sz w:val="16"/>
          <w:szCs w:val="16"/>
          <w:color w:val="auto"/>
        </w:rPr>
      </w:pPr>
      <w:r>
        <w:rPr>
          <w:rFonts w:ascii="Arial" w:cs="Arial" w:eastAsia="Arial" w:hAnsi="Arial"/>
          <w:sz w:val="16"/>
          <w:szCs w:val="16"/>
          <w:color w:val="auto"/>
        </w:rPr>
        <w:t>Borrower and each of its Subsidiaries is the sole owner of the Intellectual Property each respectively purports to own, free and clear of all Liens other than Permitted Liens. Except as noted on the Perfection Certificates, neither Borrower nor any of its Subsidiaries is a party to, nor is bound by, any material license or other material agreement with respect to which Borrower or such Subsidiary is the licensee that (i) prohibits or otherwise restricts Borrower or its Subsidiaries from granting a security interest in Borrower’s or such Subsidiaries’ interest in such material license or material agreement or any other property, or (ii) for which a default under or termination of could interfere with Collateral Agent’s or any Lender’s right to sell any Collateral. Borrower shall provide written notice to Collateral Agent and each Lender within ten (10) days of Borrower or any of its Subsidiaries entering into or becoming bound by any license or agreement with respect to which Borrower or any Subsidiary is the licensee (other than</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(i) over-the-counter software that is commercially available to the public and, (ii) non-exclusive licenses</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21" w:name="page22"/>
    <w:bookmarkEnd w:id="2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service providers of Borrower providing corporate sponsorship and/or promotional items, auditing and accounting services, human resources support services, non-proprietary information technology software, and market research entered into in the ordinary course of business, the principal purposes of which do not include the acquisition of licensing rights, but which contain such non-exclusive licenses merely ancillary to, and for the limited purposes of facilitating, the principal purposes of the agreement, in each case so long as Borrower has complied with all other applicable terms of the Loan Documents applicable thereto and (iii) licenses or agreements pursuant to which Borrower is required to make payments in any fiscal year in an amount not to exceed Two Hundred Fifty Thousand Dollars ($250,000)).</w:t>
      </w:r>
    </w:p>
    <w:p>
      <w:pPr>
        <w:spacing w:after="0" w:line="80" w:lineRule="exact"/>
        <w:rPr>
          <w:sz w:val="20"/>
          <w:szCs w:val="20"/>
          <w:color w:val="auto"/>
        </w:rPr>
      </w:pPr>
    </w:p>
    <w:p>
      <w:pPr>
        <w:jc w:val="both"/>
        <w:ind w:right="440" w:firstLine="440"/>
        <w:spacing w:after="0" w:line="266" w:lineRule="auto"/>
        <w:rPr>
          <w:sz w:val="20"/>
          <w:szCs w:val="20"/>
          <w:color w:val="auto"/>
        </w:rPr>
      </w:pPr>
      <w:r>
        <w:rPr>
          <w:rFonts w:ascii="Arial" w:cs="Arial" w:eastAsia="Arial" w:hAnsi="Arial"/>
          <w:sz w:val="18"/>
          <w:szCs w:val="18"/>
          <w:b w:val="1"/>
          <w:bCs w:val="1"/>
          <w:color w:val="auto"/>
        </w:rPr>
        <w:t xml:space="preserve">5.3 Litigation. </w:t>
      </w:r>
      <w:r>
        <w:rPr>
          <w:rFonts w:ascii="Arial" w:cs="Arial" w:eastAsia="Arial" w:hAnsi="Arial"/>
          <w:sz w:val="18"/>
          <w:szCs w:val="18"/>
          <w:color w:val="auto"/>
        </w:rPr>
        <w:t>Except as disclosed (i) on the Perfection Certificates, or (ii) in accordance with Section 6.9 hereof, there are no actions, suits,</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investigations, or proceedings pending or, to the knowledge of the Responsible Officers, threatened in writing by or against Borrower or any of its Subsidiaries involving more than Two Hundred Fifty Thousand Dollars ($250,000.00).</w:t>
      </w:r>
    </w:p>
    <w:p>
      <w:pPr>
        <w:spacing w:after="0" w:line="68" w:lineRule="exact"/>
        <w:rPr>
          <w:sz w:val="20"/>
          <w:szCs w:val="20"/>
          <w:color w:val="auto"/>
        </w:rPr>
      </w:pPr>
    </w:p>
    <w:p>
      <w:pPr>
        <w:ind w:right="60" w:firstLine="440"/>
        <w:spacing w:after="0" w:line="303" w:lineRule="auto"/>
        <w:rPr>
          <w:sz w:val="20"/>
          <w:szCs w:val="20"/>
          <w:color w:val="auto"/>
        </w:rPr>
      </w:pPr>
      <w:r>
        <w:rPr>
          <w:rFonts w:ascii="Arial" w:cs="Arial" w:eastAsia="Arial" w:hAnsi="Arial"/>
          <w:sz w:val="16"/>
          <w:szCs w:val="16"/>
          <w:b w:val="1"/>
          <w:bCs w:val="1"/>
          <w:color w:val="auto"/>
        </w:rPr>
        <w:t xml:space="preserve">5.4 No Material Deterioration in Financial Condition; Financial Statements. </w:t>
      </w:r>
      <w:r>
        <w:rPr>
          <w:rFonts w:ascii="Arial" w:cs="Arial" w:eastAsia="Arial" w:hAnsi="Arial"/>
          <w:sz w:val="16"/>
          <w:szCs w:val="16"/>
          <w:color w:val="auto"/>
        </w:rPr>
        <w:t>All consolidated financial statements for Borrower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delivered to Collateral Agent fairly present, in conformity with GAAP, in all material respects the consolidated financial condition of Borrower and its Subsidiaries, and the consolidated results of operations of Borrower and its Subsidiaries. There has not been any material deterioration in the consolidated financial condition of Borrower and its Subsidiaries since the date of the most recent financial statements submitted to any Lender.</w:t>
      </w:r>
    </w:p>
    <w:p>
      <w:pPr>
        <w:spacing w:after="0" w:line="43"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 xml:space="preserve">5.5 Solvency. </w:t>
      </w:r>
      <w:r>
        <w:rPr>
          <w:rFonts w:ascii="Arial" w:cs="Arial" w:eastAsia="Arial" w:hAnsi="Arial"/>
          <w:sz w:val="18"/>
          <w:szCs w:val="18"/>
          <w:color w:val="auto"/>
        </w:rPr>
        <w:t>Borrower is Solvent, and Borrower and each of its Subsidiaries, taken as a whole, is Solvent;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representations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set forth in this Section 5.5 shall not apply to 89Bio Management following the transfer of all or substantially all of the assets of 89Bio Management to another Borrower as permitted under Sections 7.1, 7.2 or 7.3.</w:t>
      </w:r>
    </w:p>
    <w:p>
      <w:pPr>
        <w:spacing w:after="0" w:line="68"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b w:val="1"/>
          <w:bCs w:val="1"/>
          <w:color w:val="auto"/>
        </w:rPr>
        <w:t xml:space="preserve">5.6 Regulatory Compliance. </w:t>
      </w:r>
      <w:r>
        <w:rPr>
          <w:rFonts w:ascii="Arial" w:cs="Arial" w:eastAsia="Arial" w:hAnsi="Arial"/>
          <w:sz w:val="17"/>
          <w:szCs w:val="17"/>
          <w:color w:val="auto"/>
        </w:rPr>
        <w:t>Neither Borrower nor any of its Subsidiaries is an “investment company” or a company “controlled” by an</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laws, ordinances or rules,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 in all material respects.</w:t>
      </w:r>
    </w:p>
    <w:p>
      <w:pPr>
        <w:spacing w:after="0" w:line="186"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None of Borrower, any of its Subsidiaries, or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w:t>
      </w:r>
    </w:p>
    <w:p>
      <w:pPr>
        <w:spacing w:after="0" w:line="80"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 xml:space="preserve">5.7 Investments. </w:t>
      </w:r>
      <w:r>
        <w:rPr>
          <w:rFonts w:ascii="Arial" w:cs="Arial" w:eastAsia="Arial" w:hAnsi="Arial"/>
          <w:sz w:val="18"/>
          <w:szCs w:val="18"/>
          <w:color w:val="auto"/>
        </w:rPr>
        <w:t>Neither Borrower nor any of its Subsidiaries owns any stock, shares, partnership interests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2" w:name="page23"/>
    <w:bookmarkEnd w:id="22"/>
    <w:p>
      <w:pPr>
        <w:ind w:right="20" w:firstLine="440"/>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5.8 Tax Returns and Payments; Pension Contributions. </w:t>
      </w:r>
      <w:r>
        <w:rPr>
          <w:rFonts w:ascii="Arial" w:cs="Arial" w:eastAsia="Arial" w:hAnsi="Arial"/>
          <w:sz w:val="16"/>
          <w:szCs w:val="16"/>
          <w:color w:val="auto"/>
        </w:rPr>
        <w:t>Borrower and each of its Subsidiaries has timely filed all required tax returns and</w:t>
      </w:r>
      <w:r>
        <w:rPr>
          <w:rFonts w:ascii="Arial" w:cs="Arial" w:eastAsia="Arial" w:hAnsi="Arial"/>
          <w:sz w:val="16"/>
          <w:szCs w:val="16"/>
          <w:b w:val="1"/>
          <w:bCs w:val="1"/>
          <w:color w:val="auto"/>
        </w:rPr>
        <w:t xml:space="preserve"> </w:t>
      </w:r>
      <w:r>
        <w:rPr>
          <w:rFonts w:ascii="Arial" w:cs="Arial" w:eastAsia="Arial" w:hAnsi="Arial"/>
          <w:sz w:val="16"/>
          <w:szCs w:val="16"/>
          <w:color w:val="auto"/>
        </w:rPr>
        <w:t>reports, and Borrower and each of its Subsidiaries, has timely paid all foreign, Israeli, federal and state, and local taxes, assessments, deposits and contributions owed by Borrower and such Subsidiaries, in all jurisdictions in which Borrower or any such Subsidiary is subject to taxes, including the United States, unless (a) such taxes are being contested in accordance with the following sentence or (b) in the case of foreign (other than Israeli), state or local taxes, if such foreign (other than Israeli), state or local taxes, assessments, deposits and contributions do not, individually or in the aggregate, exceed Twenty-Five Thousand Dollars ($25,000.00). Borrower and each of its Subsidiaries, may defer payment of any contested taxes, provided that Borrower or such Subsidiary, (a) in good faith contests its obligation to pay the taxes by appropriate proceedings promptly and diligently instituted and conducted, (b) notifies Collateral Agent in writing of the commencement of, and any material development in, the proceedings, and (c) posts bonds or takes any other steps required to prevent the Governmental Authority levying such contested taxes from obtaining a Lien upon any of the Collateral that is other than a “</w:t>
      </w:r>
      <w:r>
        <w:rPr>
          <w:rFonts w:ascii="Arial" w:cs="Arial" w:eastAsia="Arial" w:hAnsi="Arial"/>
          <w:sz w:val="16"/>
          <w:szCs w:val="16"/>
          <w:b w:val="1"/>
          <w:bCs w:val="1"/>
          <w:color w:val="auto"/>
        </w:rPr>
        <w:t>Permitted Lien</w:t>
      </w:r>
      <w:r>
        <w:rPr>
          <w:rFonts w:ascii="Arial" w:cs="Arial" w:eastAsia="Arial" w:hAnsi="Arial"/>
          <w:sz w:val="16"/>
          <w:szCs w:val="16"/>
          <w:color w:val="auto"/>
        </w:rPr>
        <w:t>.” Neither Borrower nor any of its Subsidiaries is aware of any claims or adjustments proposed for any of Borrower’s or such Subsidiaries’, prior tax years which could result in additional taxes becoming due and payable by Borrower or its Subsidiaries. Borrower and each of its Subsidiaries have paid all amounts necessary to fund all present pension, profit sharing and deferred compensation plans in accordance with their terms, and neither Borrower nor any of its Subsidiaries have, withdrawn from participation in, and have not permitted partial or complete termination of, or permitted the occurrence of any other event with respect to, any such plan which could reasonably be expected to result in any liability of Borrower or its Subsidiaries, including any liability to the Pension Benefit Guaranty Corporation or its successors or any other Governmental Authority.</w:t>
      </w:r>
    </w:p>
    <w:p>
      <w:pPr>
        <w:spacing w:after="0" w:line="59" w:lineRule="exact"/>
        <w:rPr>
          <w:sz w:val="20"/>
          <w:szCs w:val="20"/>
          <w:color w:val="auto"/>
        </w:rPr>
      </w:pPr>
    </w:p>
    <w:p>
      <w:pPr>
        <w:ind w:right="760" w:firstLine="440"/>
        <w:spacing w:after="0" w:line="347" w:lineRule="auto"/>
        <w:rPr>
          <w:sz w:val="20"/>
          <w:szCs w:val="20"/>
          <w:color w:val="auto"/>
        </w:rPr>
      </w:pPr>
      <w:r>
        <w:rPr>
          <w:rFonts w:ascii="Arial" w:cs="Arial" w:eastAsia="Arial" w:hAnsi="Arial"/>
          <w:sz w:val="16"/>
          <w:szCs w:val="16"/>
          <w:b w:val="1"/>
          <w:bCs w:val="1"/>
          <w:color w:val="auto"/>
        </w:rPr>
        <w:t xml:space="preserve">5.9 Use of Proceeds. </w:t>
      </w:r>
      <w:r>
        <w:rPr>
          <w:rFonts w:ascii="Arial" w:cs="Arial" w:eastAsia="Arial" w:hAnsi="Arial"/>
          <w:sz w:val="16"/>
          <w:szCs w:val="16"/>
          <w:color w:val="auto"/>
        </w:rPr>
        <w:t>Borrower shall use the proceeds of the Credit Extensions solely as working capital and to fund its general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in accordance with the provisions of this Agreement, and not for personal, family, household or agricultural purposes.</w:t>
      </w:r>
    </w:p>
    <w:p>
      <w:pPr>
        <w:spacing w:after="0" w:line="8" w:lineRule="exact"/>
        <w:rPr>
          <w:sz w:val="20"/>
          <w:szCs w:val="20"/>
          <w:color w:val="auto"/>
        </w:rPr>
      </w:pPr>
    </w:p>
    <w:p>
      <w:pPr>
        <w:ind w:right="60" w:firstLine="440"/>
        <w:spacing w:after="0" w:line="298" w:lineRule="auto"/>
        <w:rPr>
          <w:sz w:val="20"/>
          <w:szCs w:val="20"/>
          <w:color w:val="auto"/>
        </w:rPr>
      </w:pPr>
      <w:r>
        <w:rPr>
          <w:rFonts w:ascii="Arial" w:cs="Arial" w:eastAsia="Arial" w:hAnsi="Arial"/>
          <w:sz w:val="16"/>
          <w:szCs w:val="16"/>
          <w:b w:val="1"/>
          <w:bCs w:val="1"/>
          <w:color w:val="auto"/>
        </w:rPr>
        <w:t xml:space="preserve">5.10 Shares. </w:t>
      </w:r>
      <w:r>
        <w:rPr>
          <w:rFonts w:ascii="Arial" w:cs="Arial" w:eastAsia="Arial" w:hAnsi="Arial"/>
          <w:sz w:val="16"/>
          <w:szCs w:val="16"/>
          <w:color w:val="auto"/>
        </w:rPr>
        <w:t>Borrower has full power and authority to create a first lien on the Shares and no disability or contractual obligation exists that would</w:t>
      </w:r>
      <w:r>
        <w:rPr>
          <w:rFonts w:ascii="Arial" w:cs="Arial" w:eastAsia="Arial" w:hAnsi="Arial"/>
          <w:sz w:val="16"/>
          <w:szCs w:val="16"/>
          <w:b w:val="1"/>
          <w:bCs w:val="1"/>
          <w:color w:val="auto"/>
        </w:rPr>
        <w:t xml:space="preserve"> </w:t>
      </w:r>
      <w:r>
        <w:rPr>
          <w:rFonts w:ascii="Arial" w:cs="Arial" w:eastAsia="Arial" w:hAnsi="Arial"/>
          <w:sz w:val="16"/>
          <w:szCs w:val="16"/>
          <w:color w:val="auto"/>
        </w:rPr>
        <w:t>prohibit Borrower from pledging the Shares pursuant to this Agreement. To Borrower’s knowledge, there are no subscriptions, warrants, rights of first refusal or other restrictions on transfer relative to, or options exercisable with respect to the Shares. The Shares have been and will be duly authorized and validly issued, and are fully paid and non-assessable. To Borrower’s knowledge, the Shares are not the subject of any present or threatened suit, action, arbitration, administrative or other proceeding, and Borrower knows of no reasonable grounds for the institution of any such proceedings.</w:t>
      </w:r>
    </w:p>
    <w:p>
      <w:pPr>
        <w:spacing w:after="0" w:line="46"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 xml:space="preserve">5.11 Full Disclosure. </w:t>
      </w:r>
      <w:r>
        <w:rPr>
          <w:rFonts w:ascii="Arial" w:cs="Arial" w:eastAsia="Arial" w:hAnsi="Arial"/>
          <w:sz w:val="17"/>
          <w:szCs w:val="17"/>
          <w:color w:val="auto"/>
        </w:rPr>
        <w:t>No written representation, warranty or other statement of Borrower or any of its Subsidiaries in any certificate or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given to Collateral Agent or any Lender, as of the date 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misleading (it being recognized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65"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5.12 Definition of </w:t>
      </w: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For purposes of the Loan Documents, whenever a representation or warranty is made to Borrower’s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or awareness, to the “best of” Borrower’s knowledge, or with a similar qualification, knowledge or awareness means the actual knowledge, after reasonable investigation, of the Responsible Officers.</w:t>
      </w:r>
    </w:p>
    <w:p>
      <w:pPr>
        <w:spacing w:after="0" w:line="68"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b w:val="1"/>
          <w:bCs w:val="1"/>
          <w:color w:val="auto"/>
        </w:rPr>
        <w:t xml:space="preserve">5.13 The National Technological Innovation Authority and Investment Center. </w:t>
      </w:r>
      <w:r>
        <w:rPr>
          <w:rFonts w:ascii="Arial" w:cs="Arial" w:eastAsia="Arial" w:hAnsi="Arial"/>
          <w:sz w:val="18"/>
          <w:szCs w:val="18"/>
          <w:color w:val="auto"/>
        </w:rPr>
        <w:t>As of the Effective Date, Borrower has not received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grants, funds or benefits (including, but not limited to, tax benefits) from the Israeli National Technological Innovation Authority (formerly known as, the Office of Chief Scientist) or Investment Center, or the Binational Industrial Research and Development Foundation or any other Governmental Authority except as provided in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Borrower is not obligated to pay any royalties or any other payments to the National Technological Innovation Authority or Investment Center or the Binational Industrial Research and Development Foundation or any other Governmental Authority, except as provided in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The transactions contemplated under this Agreement, the Debentures and any other Loan Document (including the realization of the Charged Property) are not subject to any right and do not require the approval of the Israeli National Technological Innovation Authority or Investment Center or the Binational Industrial Research and Development Foundation or any other Governmental Authority, except as provided in </w:t>
      </w:r>
      <w:r>
        <w:rPr>
          <w:rFonts w:ascii="Arial" w:cs="Arial" w:eastAsia="Arial" w:hAnsi="Arial"/>
          <w:sz w:val="18"/>
          <w:szCs w:val="18"/>
          <w:u w:val="single" w:color="auto"/>
          <w:color w:val="auto"/>
        </w:rPr>
        <w:t>Schedule 5.13</w:t>
      </w:r>
      <w:r>
        <w:rPr>
          <w:rFonts w:ascii="Arial" w:cs="Arial" w:eastAsia="Arial" w:hAnsi="Arial"/>
          <w:sz w:val="18"/>
          <w:szCs w:val="18"/>
          <w:color w:val="auto"/>
        </w:rPr>
        <w: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23" w:name="page24"/>
    <w:bookmarkEnd w:id="23"/>
    <w:p>
      <w:pPr>
        <w:ind w:left="424" w:hanging="424"/>
        <w:spacing w:after="0"/>
        <w:tabs>
          <w:tab w:leader="none" w:pos="424"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AFFIRMATIVE COVENANTS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Borrower shall, and shall cause each of its Subsidiaries to, do all of the following:</w:t>
      </w:r>
    </w:p>
    <w:p>
      <w:pPr>
        <w:spacing w:after="0" w:line="11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 Government Compliance.</w:t>
      </w:r>
    </w:p>
    <w:p>
      <w:pPr>
        <w:spacing w:after="0" w:line="121" w:lineRule="exact"/>
        <w:rPr>
          <w:rFonts w:ascii="Arial" w:cs="Arial" w:eastAsia="Arial" w:hAnsi="Arial"/>
          <w:sz w:val="18"/>
          <w:szCs w:val="18"/>
          <w:b w:val="1"/>
          <w:bCs w:val="1"/>
          <w:color w:val="auto"/>
        </w:rPr>
      </w:pPr>
    </w:p>
    <w:p>
      <w:pPr>
        <w:jc w:val="both"/>
        <w:ind w:left="4" w:right="40" w:firstLine="987"/>
        <w:spacing w:after="0" w:line="259" w:lineRule="auto"/>
        <w:tabs>
          <w:tab w:leader="none" w:pos="12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Maintain its and all its Subsidiaries’ legal existence and good standing in their respective jurisdictions of organization and maintain qualification in each jurisdiction in which the failure to so qualify could reasonably be expected to have a Material Adverse Change. Comply with all laws, ordinances and regulations to which Borrower or any of its Subsidiaries is subject, the noncompliance with which could reasonably be expected to have a Material Adverse Change.</w:t>
      </w:r>
    </w:p>
    <w:p>
      <w:pPr>
        <w:spacing w:after="0" w:line="78" w:lineRule="exact"/>
        <w:rPr>
          <w:rFonts w:ascii="Arial" w:cs="Arial" w:eastAsia="Arial" w:hAnsi="Arial"/>
          <w:sz w:val="18"/>
          <w:szCs w:val="18"/>
          <w:color w:val="auto"/>
        </w:rPr>
      </w:pPr>
    </w:p>
    <w:p>
      <w:pPr>
        <w:ind w:left="4" w:firstLine="987"/>
        <w:spacing w:after="0" w:line="259" w:lineRule="auto"/>
        <w:tabs>
          <w:tab w:leader="none" w:pos="1250" w:val="left"/>
        </w:tabs>
        <w:numPr>
          <w:ilvl w:val="1"/>
          <w:numId w:val="34"/>
        </w:numPr>
        <w:rPr>
          <w:rFonts w:ascii="Arial" w:cs="Arial" w:eastAsia="Arial" w:hAnsi="Arial"/>
          <w:sz w:val="18"/>
          <w:szCs w:val="18"/>
          <w:color w:val="auto"/>
        </w:rPr>
      </w:pPr>
      <w:r>
        <w:rPr>
          <w:rFonts w:ascii="Arial" w:cs="Arial" w:eastAsia="Arial" w:hAnsi="Arial"/>
          <w:sz w:val="18"/>
          <w:szCs w:val="18"/>
          <w:color w:val="auto"/>
        </w:rPr>
        <w:t>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Lenders, in all of the Collateral. Borrower shall promptly provide copies to Collateral Agent of any material Governmental Approvals obtained by Borrower or any of its Subsidiaries.</w:t>
      </w:r>
    </w:p>
    <w:p>
      <w:pPr>
        <w:spacing w:after="0" w:line="7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6.2 Financial Statements, Reports, Certificates.</w:t>
      </w:r>
    </w:p>
    <w:p>
      <w:pPr>
        <w:spacing w:after="0" w:line="121" w:lineRule="exact"/>
        <w:rPr>
          <w:sz w:val="20"/>
          <w:szCs w:val="20"/>
          <w:color w:val="auto"/>
        </w:rPr>
      </w:pPr>
    </w:p>
    <w:p>
      <w:pPr>
        <w:ind w:left="1244" w:hanging="253"/>
        <w:spacing w:after="0"/>
        <w:tabs>
          <w:tab w:leader="none" w:pos="124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Deliver to each Lender:</w:t>
      </w:r>
    </w:p>
    <w:p>
      <w:pPr>
        <w:spacing w:after="0" w:line="117" w:lineRule="exact"/>
        <w:rPr>
          <w:rFonts w:ascii="Arial" w:cs="Arial" w:eastAsia="Arial" w:hAnsi="Arial"/>
          <w:sz w:val="18"/>
          <w:szCs w:val="18"/>
          <w:color w:val="auto"/>
        </w:rPr>
      </w:pPr>
    </w:p>
    <w:p>
      <w:pPr>
        <w:ind w:left="4" w:firstLine="1428"/>
        <w:spacing w:after="0" w:line="286" w:lineRule="auto"/>
        <w:tabs>
          <w:tab w:leader="none" w:pos="1651" w:val="left"/>
        </w:tabs>
        <w:numPr>
          <w:ilvl w:val="2"/>
          <w:numId w:val="35"/>
        </w:numPr>
        <w:rPr>
          <w:rFonts w:ascii="Arial" w:cs="Arial" w:eastAsia="Arial" w:hAnsi="Arial"/>
          <w:sz w:val="17"/>
          <w:szCs w:val="17"/>
          <w:color w:val="auto"/>
        </w:rPr>
      </w:pPr>
      <w:r>
        <w:rPr>
          <w:rFonts w:ascii="Arial" w:cs="Arial" w:eastAsia="Arial" w:hAnsi="Arial"/>
          <w:sz w:val="17"/>
          <w:szCs w:val="17"/>
          <w:color w:val="auto"/>
        </w:rPr>
        <w:t>as soon as available, but no later than forty-five (45) days after the last day of each of the first three (3) fiscal quarters of the fiscal year, a company prepared consolidated balance sheet, income statement and cash flow statement covering the consolidated operations of Borrower and its Subsidiaries for such quarter certified by a Responsible Officer and in a form reasonably acceptable to Collateral Agent;</w:t>
      </w:r>
    </w:p>
    <w:p>
      <w:pPr>
        <w:spacing w:after="0" w:line="57" w:lineRule="exact"/>
        <w:rPr>
          <w:rFonts w:ascii="Arial" w:cs="Arial" w:eastAsia="Arial" w:hAnsi="Arial"/>
          <w:sz w:val="17"/>
          <w:szCs w:val="17"/>
          <w:color w:val="auto"/>
        </w:rPr>
      </w:pPr>
    </w:p>
    <w:p>
      <w:pPr>
        <w:ind w:left="1704" w:hanging="272"/>
        <w:spacing w:after="0"/>
        <w:tabs>
          <w:tab w:leader="none" w:pos="1704" w:val="left"/>
        </w:tabs>
        <w:numPr>
          <w:ilvl w:val="2"/>
          <w:numId w:val="35"/>
        </w:numPr>
        <w:rPr>
          <w:rFonts w:ascii="Arial" w:cs="Arial" w:eastAsia="Arial" w:hAnsi="Arial"/>
          <w:sz w:val="17"/>
          <w:szCs w:val="17"/>
          <w:color w:val="auto"/>
        </w:rPr>
      </w:pPr>
      <w:r>
        <w:rPr>
          <w:rFonts w:ascii="Arial" w:cs="Arial" w:eastAsia="Arial" w:hAnsi="Arial"/>
          <w:sz w:val="17"/>
          <w:szCs w:val="17"/>
          <w:color w:val="auto"/>
        </w:rPr>
        <w:t>as soon as available, but no later than the earlier of (A) ninety (90) days after the last day of Borrower’s fiscal year and</w:t>
      </w:r>
    </w:p>
    <w:p>
      <w:pPr>
        <w:spacing w:after="0" w:line="34" w:lineRule="exact"/>
        <w:rPr>
          <w:rFonts w:ascii="Arial" w:cs="Arial" w:eastAsia="Arial" w:hAnsi="Arial"/>
          <w:sz w:val="17"/>
          <w:szCs w:val="17"/>
          <w:color w:val="auto"/>
        </w:rPr>
      </w:pPr>
    </w:p>
    <w:p>
      <w:pPr>
        <w:ind w:left="4" w:right="200" w:hanging="4"/>
        <w:spacing w:after="0" w:line="255" w:lineRule="auto"/>
        <w:tabs>
          <w:tab w:leader="none" w:pos="2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within five (5) days of filing with the SEC, audited consolidated financial statements prepared under GAAP, consistently applied, together with an unqualified opinion on the financial statements from Deloitte LLP or any other independent certified public accounting firm acceptable to Collateral Agent in its reasonable discretion;</w:t>
      </w:r>
    </w:p>
    <w:p>
      <w:pPr>
        <w:spacing w:after="0" w:line="81" w:lineRule="exact"/>
        <w:rPr>
          <w:rFonts w:ascii="Arial" w:cs="Arial" w:eastAsia="Arial" w:hAnsi="Arial"/>
          <w:sz w:val="18"/>
          <w:szCs w:val="18"/>
          <w:color w:val="auto"/>
        </w:rPr>
      </w:pPr>
    </w:p>
    <w:p>
      <w:pPr>
        <w:ind w:left="4" w:right="140" w:firstLine="1428"/>
        <w:spacing w:after="0" w:line="296" w:lineRule="auto"/>
        <w:tabs>
          <w:tab w:leader="none" w:pos="1751" w:val="left"/>
        </w:tabs>
        <w:numPr>
          <w:ilvl w:val="2"/>
          <w:numId w:val="36"/>
        </w:numPr>
        <w:rPr>
          <w:rFonts w:ascii="Arial" w:cs="Arial" w:eastAsia="Arial" w:hAnsi="Arial"/>
          <w:sz w:val="16"/>
          <w:szCs w:val="16"/>
          <w:color w:val="auto"/>
        </w:rPr>
      </w:pPr>
      <w:r>
        <w:rPr>
          <w:rFonts w:ascii="Arial" w:cs="Arial" w:eastAsia="Arial" w:hAnsi="Arial"/>
          <w:sz w:val="16"/>
          <w:szCs w:val="16"/>
          <w:color w:val="auto"/>
        </w:rPr>
        <w:t>as soon as available after approval thereof by 89Bio’s Board of Directors, but no later than thirty (30) days after the last day of each of 89Bio’s fiscal years, 89Bio’s annual financial projections for the entire current fiscal year as approved by 89Bio’s Board of Directors, which such annual financial projections shall be set forth in a month-by-month format (such annual financial projections as originally delivered to Collateral Agent and the Lenders are referred to herein as the “</w:t>
      </w:r>
      <w:r>
        <w:rPr>
          <w:rFonts w:ascii="Arial" w:cs="Arial" w:eastAsia="Arial" w:hAnsi="Arial"/>
          <w:sz w:val="16"/>
          <w:szCs w:val="16"/>
          <w:b w:val="1"/>
          <w:bCs w:val="1"/>
          <w:color w:val="auto"/>
        </w:rPr>
        <w:t>Annual Projections</w:t>
      </w:r>
      <w:r>
        <w:rPr>
          <w:rFonts w:ascii="Arial" w:cs="Arial" w:eastAsia="Arial" w:hAnsi="Arial"/>
          <w:sz w:val="16"/>
          <w:szCs w:val="16"/>
          <w:color w:val="auto"/>
        </w:rPr>
        <w:t>”; provided that, any revisions of the Annual Projections approved by 89Bio’s Board of Directors shall be delivered to Collateral Agent and the Lenders no later than seven (7) days after such approval);</w:t>
      </w:r>
    </w:p>
    <w:p>
      <w:pPr>
        <w:spacing w:after="0" w:line="53" w:lineRule="exact"/>
        <w:rPr>
          <w:rFonts w:ascii="Arial" w:cs="Arial" w:eastAsia="Arial" w:hAnsi="Arial"/>
          <w:sz w:val="16"/>
          <w:szCs w:val="16"/>
          <w:color w:val="auto"/>
        </w:rPr>
      </w:pPr>
    </w:p>
    <w:p>
      <w:pPr>
        <w:ind w:left="4" w:right="260" w:firstLine="1428"/>
        <w:spacing w:after="0" w:line="277" w:lineRule="auto"/>
        <w:tabs>
          <w:tab w:leader="none" w:pos="1741" w:val="left"/>
        </w:tabs>
        <w:numPr>
          <w:ilvl w:val="2"/>
          <w:numId w:val="36"/>
        </w:numPr>
        <w:rPr>
          <w:rFonts w:ascii="Arial" w:cs="Arial" w:eastAsia="Arial" w:hAnsi="Arial"/>
          <w:sz w:val="18"/>
          <w:szCs w:val="18"/>
          <w:color w:val="auto"/>
        </w:rPr>
      </w:pPr>
      <w:r>
        <w:rPr>
          <w:rFonts w:ascii="Arial" w:cs="Arial" w:eastAsia="Arial" w:hAnsi="Arial"/>
          <w:sz w:val="18"/>
          <w:szCs w:val="18"/>
          <w:color w:val="auto"/>
        </w:rPr>
        <w:t>within five (5) days of delivery, copies of all statements, reports and notices made available to Borrower’s security holders or holders of Subordinated Debt;</w:t>
      </w:r>
    </w:p>
    <w:p>
      <w:pPr>
        <w:spacing w:after="0" w:line="62" w:lineRule="exact"/>
        <w:rPr>
          <w:rFonts w:ascii="Arial" w:cs="Arial" w:eastAsia="Arial" w:hAnsi="Arial"/>
          <w:sz w:val="18"/>
          <w:szCs w:val="18"/>
          <w:color w:val="auto"/>
        </w:rPr>
      </w:pPr>
    </w:p>
    <w:p>
      <w:pPr>
        <w:ind w:left="4" w:right="680" w:firstLine="1428"/>
        <w:spacing w:after="0" w:line="342" w:lineRule="auto"/>
        <w:tabs>
          <w:tab w:leader="none" w:pos="1691" w:val="left"/>
        </w:tabs>
        <w:numPr>
          <w:ilvl w:val="2"/>
          <w:numId w:val="36"/>
        </w:numPr>
        <w:rPr>
          <w:rFonts w:ascii="Arial" w:cs="Arial" w:eastAsia="Arial" w:hAnsi="Arial"/>
          <w:sz w:val="16"/>
          <w:szCs w:val="16"/>
          <w:color w:val="auto"/>
        </w:rPr>
      </w:pPr>
      <w:r>
        <w:rPr>
          <w:rFonts w:ascii="Arial" w:cs="Arial" w:eastAsia="Arial" w:hAnsi="Arial"/>
          <w:sz w:val="16"/>
          <w:szCs w:val="16"/>
          <w:color w:val="auto"/>
        </w:rPr>
        <w:t>in the event that Borrower becomes subject to the reporting requirements under the Securities Exchange Act of 1934, as amended, within five (5) days of filing, all reports on Form 10-K, 10-Q and 8-K filed with the Securities and Exchange Commission,</w:t>
      </w:r>
    </w:p>
    <w:p>
      <w:pPr>
        <w:spacing w:after="0" w:line="15" w:lineRule="exact"/>
        <w:rPr>
          <w:rFonts w:ascii="Arial" w:cs="Arial" w:eastAsia="Arial" w:hAnsi="Arial"/>
          <w:sz w:val="16"/>
          <w:szCs w:val="16"/>
          <w:color w:val="auto"/>
        </w:rPr>
      </w:pPr>
    </w:p>
    <w:p>
      <w:pPr>
        <w:ind w:left="4" w:right="20" w:firstLine="1428"/>
        <w:spacing w:after="0" w:line="277" w:lineRule="auto"/>
        <w:tabs>
          <w:tab w:leader="none" w:pos="1741" w:val="left"/>
        </w:tabs>
        <w:numPr>
          <w:ilvl w:val="2"/>
          <w:numId w:val="36"/>
        </w:numPr>
        <w:rPr>
          <w:rFonts w:ascii="Arial" w:cs="Arial" w:eastAsia="Arial" w:hAnsi="Arial"/>
          <w:sz w:val="18"/>
          <w:szCs w:val="18"/>
          <w:color w:val="auto"/>
        </w:rPr>
      </w:pPr>
      <w:r>
        <w:rPr>
          <w:rFonts w:ascii="Arial" w:cs="Arial" w:eastAsia="Arial" w:hAnsi="Arial"/>
          <w:sz w:val="18"/>
          <w:szCs w:val="18"/>
          <w:color w:val="auto"/>
        </w:rPr>
        <w:t>prompt notice of any amendments of or other changes to the capitalization table of Borrower and to the Operating Documents of Borrower or any of its Subsidiaries, together with any copies reflecting such amendments or changes with respect thereto;</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0" w:right="459" w:bottom="1440" w:gutter="0" w:footer="0" w:header="0"/>
        </w:sectPr>
      </w:pPr>
    </w:p>
    <w:bookmarkStart w:id="24" w:name="page25"/>
    <w:bookmarkEnd w:id="24"/>
    <w:p>
      <w:pPr>
        <w:ind w:left="142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(vii) prompt notice of any event that could reasonably be expected to materially and adversely affect the value of the Intellectual</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Property;</w:t>
      </w:r>
    </w:p>
    <w:p>
      <w:pPr>
        <w:spacing w:after="0" w:line="103" w:lineRule="exact"/>
        <w:rPr>
          <w:sz w:val="20"/>
          <w:szCs w:val="20"/>
          <w:color w:val="auto"/>
        </w:rPr>
      </w:pPr>
    </w:p>
    <w:p>
      <w:pPr>
        <w:ind w:left="4" w:right="20" w:firstLine="1428"/>
        <w:spacing w:after="0" w:line="259" w:lineRule="auto"/>
        <w:tabs>
          <w:tab w:leader="none" w:pos="1841"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soon as available, but no later than (x) thirty (30) days after the last day of each of the first two months of each fiscal quarter and (y) forty-five (45) days after the last day of each of the last month of each fiscal quarter, copies of the month-end account statements for each Collateral Account maintained by Borrower or its Subsidiaries, which statements may be provided to Collateral Agent and each Lender by Borrower or directly from the applicable institution(s); and</w:t>
      </w:r>
    </w:p>
    <w:p>
      <w:pPr>
        <w:spacing w:after="0" w:line="78" w:lineRule="exact"/>
        <w:rPr>
          <w:rFonts w:ascii="Arial" w:cs="Arial" w:eastAsia="Arial" w:hAnsi="Arial"/>
          <w:sz w:val="18"/>
          <w:szCs w:val="18"/>
          <w:color w:val="auto"/>
        </w:rPr>
      </w:pPr>
    </w:p>
    <w:p>
      <w:pPr>
        <w:ind w:left="4" w:right="580" w:firstLine="1428"/>
        <w:spacing w:after="0" w:line="277" w:lineRule="auto"/>
        <w:tabs>
          <w:tab w:leader="none" w:pos="1741"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information as reasonably requested by Collateral Agent or any Lender, except to the extent that disclosure of such information is prohibited by law.</w:t>
      </w:r>
    </w:p>
    <w:p>
      <w:pPr>
        <w:spacing w:after="0" w:line="170" w:lineRule="exact"/>
        <w:rPr>
          <w:sz w:val="20"/>
          <w:szCs w:val="20"/>
          <w:color w:val="auto"/>
        </w:rPr>
      </w:pPr>
    </w:p>
    <w:p>
      <w:pPr>
        <w:ind w:left="4" w:right="20"/>
        <w:spacing w:after="0" w:line="286" w:lineRule="auto"/>
        <w:rPr>
          <w:sz w:val="20"/>
          <w:szCs w:val="20"/>
          <w:color w:val="auto"/>
        </w:rPr>
      </w:pPr>
      <w:r>
        <w:rPr>
          <w:rFonts w:ascii="Arial" w:cs="Arial" w:eastAsia="Arial" w:hAnsi="Arial"/>
          <w:sz w:val="17"/>
          <w:szCs w:val="17"/>
          <w:color w:val="auto"/>
        </w:rPr>
        <w:t>Notwithstanding the foregoing,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57" w:lineRule="exact"/>
        <w:rPr>
          <w:sz w:val="20"/>
          <w:szCs w:val="20"/>
          <w:color w:val="auto"/>
        </w:rPr>
      </w:pPr>
    </w:p>
    <w:p>
      <w:pPr>
        <w:ind w:left="1244" w:hanging="253"/>
        <w:spacing w:after="0"/>
        <w:tabs>
          <w:tab w:leader="none" w:pos="1244" w:val="left"/>
        </w:tabs>
        <w:numPr>
          <w:ilvl w:val="1"/>
          <w:numId w:val="38"/>
        </w:numPr>
        <w:rPr>
          <w:rFonts w:ascii="Arial" w:cs="Arial" w:eastAsia="Arial" w:hAnsi="Arial"/>
          <w:sz w:val="16"/>
          <w:szCs w:val="16"/>
          <w:color w:val="auto"/>
        </w:rPr>
      </w:pPr>
      <w:r>
        <w:rPr>
          <w:rFonts w:ascii="Arial" w:cs="Arial" w:eastAsia="Arial" w:hAnsi="Arial"/>
          <w:sz w:val="16"/>
          <w:szCs w:val="16"/>
          <w:color w:val="auto"/>
        </w:rPr>
        <w:t>Concurrently with the delivery of the month-end account statements specified in Section 6.2(a)(viii) above but no later than (x) thirty</w:t>
      </w:r>
    </w:p>
    <w:p>
      <w:pPr>
        <w:spacing w:after="0" w:line="46" w:lineRule="exact"/>
        <w:rPr>
          <w:rFonts w:ascii="Arial" w:cs="Arial" w:eastAsia="Arial" w:hAnsi="Arial"/>
          <w:sz w:val="16"/>
          <w:szCs w:val="16"/>
          <w:color w:val="auto"/>
        </w:rPr>
      </w:pPr>
    </w:p>
    <w:p>
      <w:pPr>
        <w:ind w:left="4" w:hanging="4"/>
        <w:spacing w:after="0" w:line="255" w:lineRule="auto"/>
        <w:tabs>
          <w:tab w:leader="none" w:pos="3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days after the last day of each of the first two months of each fiscal quarter and (y) forty-five (45) days after the last day of each of the last month of each fiscal quarter, deliver to each Lender, a duly completed Compliance Certificate, including month end cash balance sheet, signed by a Responsible Officer.</w:t>
      </w:r>
    </w:p>
    <w:p>
      <w:pPr>
        <w:spacing w:after="0" w:line="81" w:lineRule="exact"/>
        <w:rPr>
          <w:rFonts w:ascii="Arial" w:cs="Arial" w:eastAsia="Arial" w:hAnsi="Arial"/>
          <w:sz w:val="18"/>
          <w:szCs w:val="18"/>
          <w:color w:val="auto"/>
        </w:rPr>
      </w:pPr>
    </w:p>
    <w:p>
      <w:pPr>
        <w:ind w:left="4" w:right="40" w:firstLine="987"/>
        <w:spacing w:after="0" w:line="293" w:lineRule="auto"/>
        <w:tabs>
          <w:tab w:leader="none" w:pos="12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Keep proper books of record and account in accordance with GAAP in all material respects, in which full, true and correct entries shall be made of all dealings and transactions in relation to its business and activities. Borrower shall, and shall cause each of the Guarantors to, allow, at the sole cost of Borrower, Collateral Agent or any Lender, during regular business hours upon reasonable prior written notice (provided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once every year unless (and more frequently if) an Event of Default has occurred and is continuing.</w:t>
      </w:r>
    </w:p>
    <w:p>
      <w:pPr>
        <w:spacing w:after="0" w:line="52" w:lineRule="exact"/>
        <w:rPr>
          <w:sz w:val="20"/>
          <w:szCs w:val="20"/>
          <w:color w:val="auto"/>
        </w:rPr>
      </w:pPr>
    </w:p>
    <w:p>
      <w:pPr>
        <w:ind w:left="4" w:right="40" w:firstLine="440"/>
        <w:spacing w:after="0" w:line="303" w:lineRule="auto"/>
        <w:rPr>
          <w:sz w:val="20"/>
          <w:szCs w:val="20"/>
          <w:color w:val="auto"/>
        </w:rPr>
      </w:pPr>
      <w:r>
        <w:rPr>
          <w:rFonts w:ascii="Arial" w:cs="Arial" w:eastAsia="Arial" w:hAnsi="Arial"/>
          <w:sz w:val="16"/>
          <w:szCs w:val="16"/>
          <w:b w:val="1"/>
          <w:bCs w:val="1"/>
          <w:color w:val="auto"/>
        </w:rPr>
        <w:t xml:space="preserve">6.3 Inventory; Returns. </w:t>
      </w:r>
      <w:r>
        <w:rPr>
          <w:rFonts w:ascii="Arial" w:cs="Arial" w:eastAsia="Arial" w:hAnsi="Arial"/>
          <w:sz w:val="16"/>
          <w:szCs w:val="16"/>
          <w:color w:val="auto"/>
        </w:rPr>
        <w:t>Keep all Inventory in good and marketable condition, free from material defects. Returns and allowances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or any Guarantor, and their respective Account Debtors shall follow Borrower’s, or such Guarantor’s, customary practices as they exist at the Effective Date. Borrower must promptly notify Collateral Agent and the Lenders of all returns, recoveries, disputes with respect to Inventory and claims with respect to Inventory that involve more than One Hundred Thousand Dollars ($100,000.00) individually or in the aggregate in any calendar year.</w:t>
      </w:r>
    </w:p>
    <w:p>
      <w:pPr>
        <w:spacing w:after="0" w:line="43" w:lineRule="exact"/>
        <w:rPr>
          <w:sz w:val="20"/>
          <w:szCs w:val="20"/>
          <w:color w:val="auto"/>
        </w:rPr>
      </w:pPr>
    </w:p>
    <w:p>
      <w:pPr>
        <w:ind w:left="4" w:right="80" w:firstLine="440"/>
        <w:spacing w:after="0" w:line="294" w:lineRule="auto"/>
        <w:rPr>
          <w:sz w:val="20"/>
          <w:szCs w:val="20"/>
          <w:color w:val="auto"/>
        </w:rPr>
      </w:pPr>
      <w:r>
        <w:rPr>
          <w:rFonts w:ascii="Arial" w:cs="Arial" w:eastAsia="Arial" w:hAnsi="Arial"/>
          <w:sz w:val="16"/>
          <w:szCs w:val="16"/>
          <w:b w:val="1"/>
          <w:bCs w:val="1"/>
          <w:color w:val="auto"/>
        </w:rPr>
        <w:t xml:space="preserve">6.4 Taxes; Pensions. </w:t>
      </w:r>
      <w:r>
        <w:rPr>
          <w:rFonts w:ascii="Arial" w:cs="Arial" w:eastAsia="Arial" w:hAnsi="Arial"/>
          <w:sz w:val="16"/>
          <w:szCs w:val="16"/>
          <w:color w:val="auto"/>
        </w:rPr>
        <w:t>Timely file and require each of its Subsidiaries to timely file, all required tax returns and reports and timely pay, and require</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its Subsidiaries to timely file, all foreign, federal, state, and local taxes, assessments, deposits and contributions owed by Borrower or its Subsidiaries, except for deferred payment of any taxes contested pursuant to the terms of Section 5.8 hereof and in the case of foreign, state or local taxes, if such foreign (other than Israeli), state or local taxes, assessments, deposits and contributions do not, individually or in the aggregate, exceed Twenty-Five Thousand Dollars ($25,000.00), and shall deliver to Lenders, on demand, appropriate certificates attesting to such payments, and pay all amounts necessary to fund all present pension, profit sharing and deferred compensation plans in accordance with the terms of such plans.</w:t>
      </w:r>
    </w:p>
    <w:p>
      <w:pPr>
        <w:spacing w:after="0" w:line="52"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b w:val="1"/>
          <w:bCs w:val="1"/>
          <w:color w:val="auto"/>
        </w:rPr>
        <w:t xml:space="preserve">6.5 Insurance. </w:t>
      </w:r>
      <w:r>
        <w:rPr>
          <w:rFonts w:ascii="Arial" w:cs="Arial" w:eastAsia="Arial" w:hAnsi="Arial"/>
          <w:sz w:val="18"/>
          <w:szCs w:val="18"/>
          <w:color w:val="auto"/>
        </w:rPr>
        <w:t>Keep Borrower’s and its Subsidiaries’ business and the Collateral insured for risks and in amounts standard for companies in</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and its Subsidiaries’ industry and location and as Collateral Agent may reasonably request. Insurance policies shall be in a form, with companies, and in amounts that are reasonably satisfactory to Collateral Agent and Lenders. All property policies shall have a lender’s loss payable endorsement showing Collateral Agent as lender loss payee and waive subrogation against Collateral Agent, and all liability policies shall show, or have endorsements showing, Collateral Agent, as additional insured. The Collateral Agent shall be named as lender loss payee and/or additional insured with respect to any such insurance providing coverage in respect of any Collateral, and each provider of any such insurance shall agree, by endorsement upon the policy or policies</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5" w:name="page26"/>
    <w:bookmarkEnd w:id="2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issued by it or by independent instruments furnished to the Collateral Agent, that it will give the Collateral Agent thirty (30) days prior written notice before any such policy or policies shall be canceled. With respect to any insurance policy of 89Bio Israel, Collateral Agent shall be designated as a “beneficiary (Motav)” in the meaning and for the purposes of the Israeli Insurance Contract Law 5741-1981. At Collateral Agent’s request, Borrower shall deliver certified copies of policies and evidence of all premium payments. Proceeds payable under any policy shall, at Collateral Agent’s option, be payable to Collateral Agent, for the ratable benefit of the Lenders, on account of the Obligations. Notwithstanding the foregoing, (a) so long as no Event of Default has occurred and is continuing, Borrower shall have the option of applying the proceeds of any casualty policy up to Five Hundred Thousand Dollars ($500,000.00) with respect to any loss, but not exceeding Five Hundred Thousand Dollars ($500,000.00),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Collateral Agent has been granted a first priority security interest, and (b) after the occurrence and during the continuance of an Event of Default, all proceeds payable under such casualty policy shall, at the option of Collateral Agent, be payable to Collateral Agent, for the ratable benefit of the Lenders, on account of the Obligations. If Borrower or any of its Subsidiaries fails to obtain insurance as required under this Section 6.5 or to pay any amount or furnish any required proof of payment to third persons, Collateral Agent and/or any Lender may make, at Borrower’s expense, all or part of such payment or obtain such insurance policies required in this Section 6.5, and take any action under the policies Collateral Agent or such Lender deems prudent.</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6.6 Operating Accounts.</w:t>
      </w:r>
    </w:p>
    <w:p>
      <w:pPr>
        <w:spacing w:after="0" w:line="121" w:lineRule="exact"/>
        <w:rPr>
          <w:sz w:val="20"/>
          <w:szCs w:val="20"/>
          <w:color w:val="auto"/>
        </w:rPr>
      </w:pPr>
    </w:p>
    <w:p>
      <w:pPr>
        <w:ind w:firstLine="987"/>
        <w:spacing w:after="0" w:line="296" w:lineRule="auto"/>
        <w:tabs>
          <w:tab w:leader="none" w:pos="1236"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Maintain its and its Subsidiaries’ domestic primary operating accounts with Bank and Bank’s Affiliates. Furthermore, Borrower shall maintain at least fifty percent (50%) of the dollar value of Borrower’s and its Subsidiaries’ excess cash with Bank or Bank’s Affiliates from the Effective date until the date that is one (1) year after the Effective Date; provided, that if SVB or its affiliates have the ability to offer such banking products on competitive terms for current market conditions, Borrower and its Subsidiaries shall maintain the aforementioned excess cash at Bank throughout the life of this Agreement. For the avoidance of doubt, the calculation of “excess cash” shall not include cash held outside of the United States.</w:t>
      </w:r>
    </w:p>
    <w:p>
      <w:pPr>
        <w:spacing w:after="0" w:line="53" w:lineRule="exact"/>
        <w:rPr>
          <w:rFonts w:ascii="Arial" w:cs="Arial" w:eastAsia="Arial" w:hAnsi="Arial"/>
          <w:sz w:val="16"/>
          <w:szCs w:val="16"/>
          <w:color w:val="auto"/>
        </w:rPr>
      </w:pPr>
    </w:p>
    <w:p>
      <w:pPr>
        <w:ind w:firstLine="987"/>
        <w:spacing w:after="0" w:line="270" w:lineRule="auto"/>
        <w:tabs>
          <w:tab w:leader="none" w:pos="1246" w:val="left"/>
        </w:tabs>
        <w:numPr>
          <w:ilvl w:val="0"/>
          <w:numId w:val="40"/>
        </w:numPr>
        <w:rPr>
          <w:rFonts w:ascii="Arial" w:cs="Arial" w:eastAsia="Arial" w:hAnsi="Arial"/>
          <w:sz w:val="17"/>
          <w:szCs w:val="17"/>
          <w:color w:val="auto"/>
        </w:rPr>
      </w:pPr>
      <w:r>
        <w:rPr>
          <w:rFonts w:ascii="Arial" w:cs="Arial" w:eastAsia="Arial" w:hAnsi="Arial"/>
          <w:sz w:val="17"/>
          <w:szCs w:val="17"/>
          <w:color w:val="auto"/>
        </w:rPr>
        <w:t>Borrower shall provide Collateral Agent five (5) days’ prior written notice before Borrower or any of its Subsidiaries establishes any Collateral Account at or with any Person other than Bank or its Affiliates or as otherwise disclosed in the Perfection Certificates. In addition, for each Collateral Account that Borrower or any Guarantor at any time after the Effective Date establishes and maintains outside of Bank, Borrower or any Guarantor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in accordance with the terms hereunder prior to the establishment of such Collateral Account, which Control Agreement or other appropriate instrument may not be terminated without prior written consent of such Collateral Agent. The provisions of the previous sentence shall not apply to deposit accounts exclusively used for payroll, payroll taxes and other employee wage and benefit payments to or for the benefit of Borrower’s, or any of its Subsidiaries’, employees and identified to Collateral Agent by Borrower as such in the Perfection Certificates.</w:t>
      </w:r>
    </w:p>
    <w:p>
      <w:pPr>
        <w:spacing w:after="0" w:line="72" w:lineRule="exact"/>
        <w:rPr>
          <w:rFonts w:ascii="Arial" w:cs="Arial" w:eastAsia="Arial" w:hAnsi="Arial"/>
          <w:sz w:val="17"/>
          <w:szCs w:val="17"/>
          <w:color w:val="auto"/>
        </w:rPr>
      </w:pPr>
    </w:p>
    <w:p>
      <w:pPr>
        <w:ind w:right="700" w:firstLine="987"/>
        <w:spacing w:after="0" w:line="277" w:lineRule="auto"/>
        <w:tabs>
          <w:tab w:leader="none" w:pos="12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Neither Borrower nor any of its Subsidiaries shall maintain any Collateral Accounts except Collateral Accounts maintained in accordance with Sections 6.6(a) and (b).</w:t>
      </w:r>
    </w:p>
    <w:p>
      <w:pPr>
        <w:spacing w:after="0" w:line="58" w:lineRule="exact"/>
        <w:rPr>
          <w:sz w:val="20"/>
          <w:szCs w:val="20"/>
          <w:color w:val="auto"/>
        </w:rPr>
      </w:pPr>
    </w:p>
    <w:p>
      <w:pPr>
        <w:ind w:right="100" w:firstLine="440"/>
        <w:spacing w:after="0" w:line="281" w:lineRule="auto"/>
        <w:rPr>
          <w:sz w:val="20"/>
          <w:szCs w:val="20"/>
          <w:color w:val="auto"/>
        </w:rPr>
      </w:pPr>
      <w:r>
        <w:rPr>
          <w:rFonts w:ascii="Arial" w:cs="Arial" w:eastAsia="Arial" w:hAnsi="Arial"/>
          <w:sz w:val="17"/>
          <w:szCs w:val="17"/>
          <w:b w:val="1"/>
          <w:bCs w:val="1"/>
          <w:color w:val="auto"/>
        </w:rPr>
        <w:t xml:space="preserve">6.7 Protection of Intellectual Property Rights. </w:t>
      </w:r>
      <w:r>
        <w:rPr>
          <w:rFonts w:ascii="Arial" w:cs="Arial" w:eastAsia="Arial" w:hAnsi="Arial"/>
          <w:sz w:val="17"/>
          <w:szCs w:val="17"/>
          <w:color w:val="auto"/>
        </w:rPr>
        <w:t>Borrower and each of its Subsidiaries shall: (a) use commercially reasonable efforts to protect,</w:t>
      </w:r>
      <w:r>
        <w:rPr>
          <w:rFonts w:ascii="Arial" w:cs="Arial" w:eastAsia="Arial" w:hAnsi="Arial"/>
          <w:sz w:val="17"/>
          <w:szCs w:val="17"/>
          <w:b w:val="1"/>
          <w:bCs w:val="1"/>
          <w:color w:val="auto"/>
        </w:rPr>
        <w:t xml:space="preserve"> </w:t>
      </w:r>
      <w:r>
        <w:rPr>
          <w:rFonts w:ascii="Arial" w:cs="Arial" w:eastAsia="Arial" w:hAnsi="Arial"/>
          <w:sz w:val="17"/>
          <w:szCs w:val="17"/>
          <w:color w:val="auto"/>
        </w:rPr>
        <w:t>defend and maintain the validity and enforceability of its Intellectual Property that is material to Borrower’s business; (b) promptly advise Collateral Agent in writing of material infringement by a third party of its Intellectual Property; and (c) not allow any Intellectual Property material to Borrower’s business to be abandoned, forfeited or dedicated to the public without Collateral Agent’s prior written consent.</w:t>
      </w:r>
    </w:p>
    <w:p>
      <w:pPr>
        <w:spacing w:after="0" w:line="57" w:lineRule="exact"/>
        <w:rPr>
          <w:sz w:val="20"/>
          <w:szCs w:val="20"/>
          <w:color w:val="auto"/>
        </w:rPr>
      </w:pPr>
    </w:p>
    <w:p>
      <w:pPr>
        <w:ind w:right="60" w:firstLine="440"/>
        <w:spacing w:after="0" w:line="303" w:lineRule="auto"/>
        <w:rPr>
          <w:sz w:val="20"/>
          <w:szCs w:val="20"/>
          <w:color w:val="auto"/>
        </w:rPr>
      </w:pPr>
      <w:r>
        <w:rPr>
          <w:rFonts w:ascii="Arial" w:cs="Arial" w:eastAsia="Arial" w:hAnsi="Arial"/>
          <w:sz w:val="16"/>
          <w:szCs w:val="16"/>
          <w:b w:val="1"/>
          <w:bCs w:val="1"/>
          <w:color w:val="auto"/>
        </w:rPr>
        <w:t xml:space="preserve">6.8 Litigation Cooperation. </w:t>
      </w:r>
      <w:r>
        <w:rPr>
          <w:rFonts w:ascii="Arial" w:cs="Arial" w:eastAsia="Arial" w:hAnsi="Arial"/>
          <w:sz w:val="16"/>
          <w:szCs w:val="16"/>
          <w:color w:val="auto"/>
        </w:rPr>
        <w:t>Commencing on the Effective Date and continuing through the termination of this Agreement, make 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Agent and the Lenders, without expense to Collateral Agent or the Lenders, Borrower and each of Borrower’s officers, employees and agents and Borrower’s Books, to the extent that Collateral Agent or any Lender may reasonably deem them necessary to prosecute or defend any third-party suit or proceeding instituted by or against Collateral Agent or any Lender with respect to any Collateral or relating to Borrower.</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6" w:name="page27"/>
    <w:bookmarkEnd w:id="26"/>
    <w:p>
      <w:pPr>
        <w:ind w:right="100" w:firstLine="440"/>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6.9 Notices of Litigation and Default. </w:t>
      </w:r>
      <w:r>
        <w:rPr>
          <w:rFonts w:ascii="Arial" w:cs="Arial" w:eastAsia="Arial" w:hAnsi="Arial"/>
          <w:sz w:val="17"/>
          <w:szCs w:val="17"/>
          <w:color w:val="auto"/>
        </w:rPr>
        <w:t>Borrower will give prompt written notice to Collateral Agent and the Lenders of any litigation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governmental proceedings pending or threatened (in writing) against Borrower or any of its Subsidiaries, which could reasonably be expected to result in damages or costs to Borrower or any of its Subsidiaries of One Hundred Thousand Dollars ($100,000.00) or more or which could reasonably be expected to have a Material Adverse Change. Without limiting or contradicting any other more specific provision of this Agreement, promptly (and in any event within three (3) Business Days) upon Borrower becoming aware of the existence of any Event of Default or event which, with the giving of notice or passage of time, or both, would constitute an Event of Default, Borrower shall give written notice to Collateral Agent and the Lenders of such occurrence, which such notice shall include a reasonably detailed description of such Event of Default or event which, with the giving of notice or passage of time, or both, would constitute an Event of Default.</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6.10 Intentionally Omitted.</w:t>
      </w:r>
    </w:p>
    <w:p>
      <w:pPr>
        <w:spacing w:after="0" w:line="117"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b w:val="1"/>
          <w:bCs w:val="1"/>
          <w:color w:val="auto"/>
        </w:rPr>
        <w:t xml:space="preserve">6.11 Landlord Waivers; Bailee Waivers. </w:t>
      </w:r>
      <w:r>
        <w:rPr>
          <w:rFonts w:ascii="Arial" w:cs="Arial" w:eastAsia="Arial" w:hAnsi="Arial"/>
          <w:sz w:val="17"/>
          <w:szCs w:val="17"/>
          <w:color w:val="auto"/>
        </w:rPr>
        <w:t>In the event that Borrower or any Guarantor, after the Effective Date, (a) leases any new offices or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locations, including warehouses, and such new location is either (x) the chief executive office of the Borrower or such Guarantor or (y) the Collateral at any such new location has a Book Value in excess of Two Hundred Fifty Thousand ($250,000.00) in the aggregate, Borrower shall cause the landlord of such property to execute and deliver a landlord waiver in form and substance reasonably satisfactory to Collateral Agent, or (b) stores any portion of the Collateral with, or delivers any portion of such Collateral to, a bailee, and the Collateral at such new location has a Book Value in excess of Two Hundred Fifty Thousand ($250,000.00) in the aggregate, Borrower shall cause the bailee of such property to execute and deliver a bailee waiver in form and substance reasonably satisfactory to Collateral Agent.</w:t>
      </w:r>
    </w:p>
    <w:p>
      <w:pPr>
        <w:spacing w:after="0" w:line="64"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 xml:space="preserve">6.12 Creation/Acquisition of Subsidiaries. </w:t>
      </w:r>
      <w:r>
        <w:rPr>
          <w:rFonts w:ascii="Arial" w:cs="Arial" w:eastAsia="Arial" w:hAnsi="Arial"/>
          <w:sz w:val="17"/>
          <w:szCs w:val="17"/>
          <w:color w:val="auto"/>
        </w:rPr>
        <w:t>In the event Borrower, or any of its Subsidiaries creates or acquires any Subsidiary, Borrower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provide prior written notice to Collateral Agent and each Lender of the creation or acquisition of such new Subsidiary and take all such action as may be reasonably required by Collateral Agent or any Lender to cause each such Subsidiary to become a co-Borrower hereunder or to guarantee the Obligations of Borrower under the Loan Documents and, in each case, grant a continuing pledge and security interest in and to the assets of such Subsidiary (substantially as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and Borrower (or its Subsidiary, as applicable) shall grant and pledge to Collateral Agent, for the ratable benefit of the Lenders, a perfected security interest in the Shares of each such newly created Subsidiary.</w:t>
      </w:r>
    </w:p>
    <w:p>
      <w:pPr>
        <w:spacing w:after="0" w:line="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6.13 Further Assurances</w:t>
      </w:r>
      <w:r>
        <w:rPr>
          <w:rFonts w:ascii="Arial" w:cs="Arial" w:eastAsia="Arial" w:hAnsi="Arial"/>
          <w:sz w:val="18"/>
          <w:szCs w:val="18"/>
          <w:color w:val="auto"/>
        </w:rPr>
        <w:t>.</w:t>
      </w:r>
    </w:p>
    <w:p>
      <w:pPr>
        <w:spacing w:after="0" w:line="121" w:lineRule="exact"/>
        <w:rPr>
          <w:sz w:val="20"/>
          <w:szCs w:val="20"/>
          <w:color w:val="auto"/>
        </w:rPr>
      </w:pPr>
    </w:p>
    <w:p>
      <w:pPr>
        <w:ind w:right="240" w:firstLine="987"/>
        <w:spacing w:after="0" w:line="277" w:lineRule="auto"/>
        <w:tabs>
          <w:tab w:leader="none" w:pos="12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Execute any further instruments and take further action as Collateral Agent or any Lender reasonably requests to perfect or continue Collateral Agent’s Lien in the Collateral or to effect the purposes of this Agreement.</w:t>
      </w:r>
    </w:p>
    <w:p>
      <w:pPr>
        <w:spacing w:after="0" w:line="62" w:lineRule="exact"/>
        <w:rPr>
          <w:rFonts w:ascii="Arial" w:cs="Arial" w:eastAsia="Arial" w:hAnsi="Arial"/>
          <w:sz w:val="18"/>
          <w:szCs w:val="18"/>
          <w:color w:val="auto"/>
        </w:rPr>
      </w:pPr>
    </w:p>
    <w:p>
      <w:pPr>
        <w:jc w:val="both"/>
        <w:ind w:right="20" w:firstLine="987"/>
        <w:spacing w:after="0" w:line="279" w:lineRule="auto"/>
        <w:tabs>
          <w:tab w:leader="none" w:pos="1246"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Deliver to Collateral Agent and Lenders, within five (5)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otherwise could reasonably be expected to have a Material Adverse Change, except to the extent that disclosure of such correspondence, reports, documents and other filings is prohibited by law.</w:t>
      </w:r>
    </w:p>
    <w:p>
      <w:pPr>
        <w:spacing w:after="0" w:line="59" w:lineRule="exact"/>
        <w:rPr>
          <w:sz w:val="20"/>
          <w:szCs w:val="20"/>
          <w:color w:val="auto"/>
        </w:rPr>
      </w:pPr>
    </w:p>
    <w:p>
      <w:pPr>
        <w:jc w:val="both"/>
        <w:ind w:right="60" w:firstLine="440"/>
        <w:spacing w:after="0" w:line="266" w:lineRule="auto"/>
        <w:rPr>
          <w:sz w:val="20"/>
          <w:szCs w:val="20"/>
          <w:color w:val="auto"/>
        </w:rPr>
      </w:pPr>
      <w:r>
        <w:rPr>
          <w:rFonts w:ascii="Arial" w:cs="Arial" w:eastAsia="Arial" w:hAnsi="Arial"/>
          <w:sz w:val="18"/>
          <w:szCs w:val="18"/>
          <w:b w:val="1"/>
          <w:bCs w:val="1"/>
          <w:color w:val="auto"/>
        </w:rPr>
        <w:t xml:space="preserve">6.14 Grants. </w:t>
      </w:r>
      <w:r>
        <w:rPr>
          <w:rFonts w:ascii="Arial" w:cs="Arial" w:eastAsia="Arial" w:hAnsi="Arial"/>
          <w:sz w:val="18"/>
          <w:szCs w:val="18"/>
          <w:color w:val="auto"/>
        </w:rPr>
        <w:t>Obtain the prior written consent of the Collateral Agent before receiving any grants, funds or benefits, or filing for an application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funding from the National Technological Innovation Authority or the Investment Center or the Binational Industrial Research and Development Foundation or any other Governmental Authority.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0" w:right="479" w:bottom="1440" w:gutter="0" w:footer="0" w:header="0"/>
        </w:sectPr>
      </w:pPr>
    </w:p>
    <w:bookmarkStart w:id="27" w:name="page28"/>
    <w:bookmarkEnd w:id="27"/>
    <w:p>
      <w:pPr>
        <w:ind w:left="424" w:hanging="424"/>
        <w:spacing w:after="0"/>
        <w:tabs>
          <w:tab w:leader="none" w:pos="424"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NEGATIVE COVENANTS</w:t>
      </w:r>
    </w:p>
    <w:p>
      <w:pPr>
        <w:spacing w:after="0" w:line="121" w:lineRule="exact"/>
        <w:rPr>
          <w:sz w:val="20"/>
          <w:szCs w:val="20"/>
          <w:color w:val="auto"/>
        </w:rPr>
      </w:pPr>
    </w:p>
    <w:p>
      <w:pPr>
        <w:ind w:left="4" w:right="520" w:firstLine="440"/>
        <w:spacing w:after="0" w:line="277" w:lineRule="auto"/>
        <w:rPr>
          <w:sz w:val="20"/>
          <w:szCs w:val="20"/>
          <w:color w:val="auto"/>
        </w:rPr>
      </w:pPr>
      <w:r>
        <w:rPr>
          <w:rFonts w:ascii="Arial" w:cs="Arial" w:eastAsia="Arial" w:hAnsi="Arial"/>
          <w:sz w:val="18"/>
          <w:szCs w:val="18"/>
          <w:color w:val="auto"/>
        </w:rPr>
        <w:t>Borrower shall not, and shall not permit any of its Subsidiaries to, do any of the following without the prior written consent of the Required Lenders:</w:t>
      </w:r>
    </w:p>
    <w:p>
      <w:pPr>
        <w:spacing w:after="0" w:line="58" w:lineRule="exact"/>
        <w:rPr>
          <w:sz w:val="20"/>
          <w:szCs w:val="20"/>
          <w:color w:val="auto"/>
        </w:rPr>
      </w:pPr>
    </w:p>
    <w:p>
      <w:pPr>
        <w:ind w:left="4" w:right="60" w:firstLine="440"/>
        <w:spacing w:after="0" w:line="289" w:lineRule="auto"/>
        <w:rPr>
          <w:sz w:val="20"/>
          <w:szCs w:val="20"/>
          <w:color w:val="auto"/>
        </w:rPr>
      </w:pPr>
      <w:r>
        <w:rPr>
          <w:rFonts w:ascii="Arial" w:cs="Arial" w:eastAsia="Arial" w:hAnsi="Arial"/>
          <w:sz w:val="16"/>
          <w:szCs w:val="16"/>
          <w:b w:val="1"/>
          <w:bCs w:val="1"/>
          <w:color w:val="auto"/>
        </w:rPr>
        <w:t xml:space="preserve">7.1 Dispositions. </w:t>
      </w:r>
      <w:r>
        <w:rPr>
          <w:rFonts w:ascii="Arial" w:cs="Arial" w:eastAsia="Arial" w:hAnsi="Arial"/>
          <w:sz w:val="16"/>
          <w:szCs w:val="16"/>
          <w:color w:val="auto"/>
        </w:rPr>
        <w:t>Convey, sell, lease, transfer, assign, or otherwise dispose of (collectively, “</w:t>
      </w:r>
      <w:r>
        <w:rPr>
          <w:rFonts w:ascii="Arial" w:cs="Arial" w:eastAsia="Arial" w:hAnsi="Arial"/>
          <w:sz w:val="16"/>
          <w:szCs w:val="16"/>
          <w:b w:val="1"/>
          <w:bCs w:val="1"/>
          <w:color w:val="auto"/>
        </w:rPr>
        <w:t>Transfer</w:t>
      </w:r>
      <w:r>
        <w:rPr>
          <w:rFonts w:ascii="Arial" w:cs="Arial" w:eastAsia="Arial" w:hAnsi="Arial"/>
          <w:sz w:val="16"/>
          <w:szCs w:val="16"/>
          <w:color w:val="auto"/>
        </w:rPr>
        <w:t>”), or permit any of its Subsidiaries to</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all or any part of its business or property, except for Transfers (a) of Inventory in the ordinary course of business; (b) of worn out, obsolete Equipment or surplus; (c) in connection with Permitted Liens, Permitted Investments and Permitted Licenses; (d) from any Subsidiary of Borrower to Borrower or between Borrowers; (e) consisting of payments of taxes; (f) of cash and Cash Equivalents (i) in connection with transactions not prohibited hereunder, in the ordinary course of business and (ii) in connection with transactions that (A) are approved by a Borrower’s board of directors (to the extent such approval is required by such Borrower’s policies or other organizational documents), (B) are customary for Borrower’s industry and (C) not otherwise prohibited hereunder; (g) consisting of the abandonment, forfeiture or dedication to the public of any Intellectual Property in the ordinary course of business that is not material to Borrower’s business to the extent permitted by Section 6.7(c); (i) other Transfers of property (but excluding Intellectual Property) having a Book Value not exceeding One Hundred Thousand Dollars ($100,000.00) in the aggregate during any fiscal year.</w:t>
      </w:r>
    </w:p>
    <w:p>
      <w:pPr>
        <w:spacing w:after="0" w:line="58"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b w:val="1"/>
          <w:bCs w:val="1"/>
          <w:color w:val="auto"/>
        </w:rPr>
        <w:t xml:space="preserve">7.2 Changes in Business, Management, Ownership, or Business Locations. </w:t>
      </w:r>
      <w:r>
        <w:rPr>
          <w:rFonts w:ascii="Arial" w:cs="Arial" w:eastAsia="Arial" w:hAnsi="Arial"/>
          <w:sz w:val="16"/>
          <w:szCs w:val="16"/>
          <w:color w:val="auto"/>
        </w:rPr>
        <w:t>(a) Engage in or permit any of its Subsidiaries to engage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other than the businesses engaged in by Borrower as of the Effective Date or reasonably related or incidental thereto; (b) liquidate or dissolve unless all or substantially all of the assets of such liquidated or dissolved Borrower or Subsidiary, as applicable, are transferred to a Borrower; or (c) (i) prevent any Key Person from being actively engaged in the management of Borrower unless written notice thereof is provided to Collateral Agent within five (5) Business Days of such change or (ii) enter into any transaction or series of related transactions in which the stockholders of Borrower who were not stockholders immediately prior to the first such transaction own more than forty nine percent (49%) of the voting stock of Borrower immediately after giving effect to such transaction or related series of such transactions (other than by the sale of Borrower’s equity securities in a public offering, a private placement of public equity or to venture capital investors so long as Borrower identifies to Collateral Agent the venture capital investors prior to the closing of the transaction) (any such transaction, a “</w:t>
      </w:r>
      <w:r>
        <w:rPr>
          <w:rFonts w:ascii="Arial" w:cs="Arial" w:eastAsia="Arial" w:hAnsi="Arial"/>
          <w:sz w:val="16"/>
          <w:szCs w:val="16"/>
          <w:b w:val="1"/>
          <w:bCs w:val="1"/>
          <w:color w:val="auto"/>
        </w:rPr>
        <w:t>Change in Control</w:t>
      </w:r>
      <w:r>
        <w:rPr>
          <w:rFonts w:ascii="Arial" w:cs="Arial" w:eastAsia="Arial" w:hAnsi="Arial"/>
          <w:sz w:val="16"/>
          <w:szCs w:val="16"/>
          <w:color w:val="auto"/>
        </w:rPr>
        <w:t>”). Borrower shall not, without at least thirty (30) days’ prior written notice to Collateral Agent: (A) add any new offices or business locations, including warehouses (unless such new offices or business locations (i) contain less than Two Hundred Fifty Thousand Dollars ($250,000.00) in assets or property of Borrower or any of its Subsidiaries, and</w:t>
      </w:r>
    </w:p>
    <w:p>
      <w:pPr>
        <w:spacing w:after="0" w:line="8" w:lineRule="exact"/>
        <w:rPr>
          <w:sz w:val="20"/>
          <w:szCs w:val="20"/>
          <w:color w:val="auto"/>
        </w:rPr>
      </w:pPr>
    </w:p>
    <w:p>
      <w:pPr>
        <w:ind w:left="4" w:right="180" w:hanging="4"/>
        <w:spacing w:after="0" w:line="290" w:lineRule="auto"/>
        <w:tabs>
          <w:tab w:leader="none" w:pos="269" w:val="left"/>
        </w:tabs>
        <w:numPr>
          <w:ilvl w:val="0"/>
          <w:numId w:val="43"/>
        </w:numPr>
        <w:rPr>
          <w:rFonts w:ascii="Arial" w:cs="Arial" w:eastAsia="Arial" w:hAnsi="Arial"/>
          <w:sz w:val="17"/>
          <w:szCs w:val="17"/>
          <w:color w:val="auto"/>
        </w:rPr>
      </w:pPr>
      <w:r>
        <w:rPr>
          <w:rFonts w:ascii="Arial" w:cs="Arial" w:eastAsia="Arial" w:hAnsi="Arial"/>
          <w:sz w:val="17"/>
          <w:szCs w:val="17"/>
          <w:color w:val="auto"/>
        </w:rPr>
        <w:t>are not Borrower’s or its Subsidiaries’ chief executive office); (B) change its jurisdiction of organization, (C) change its organizational structure or type, (D) change its legal name, or (E) change any organizational number (if any) assigned by its jurisdiction of organization.</w:t>
      </w:r>
    </w:p>
    <w:p>
      <w:pPr>
        <w:spacing w:after="0" w:line="49" w:lineRule="exact"/>
        <w:rPr>
          <w:sz w:val="20"/>
          <w:szCs w:val="20"/>
          <w:color w:val="auto"/>
        </w:rPr>
      </w:pPr>
    </w:p>
    <w:p>
      <w:pPr>
        <w:ind w:left="4" w:right="120" w:firstLine="440"/>
        <w:spacing w:after="0" w:line="291" w:lineRule="auto"/>
        <w:rPr>
          <w:sz w:val="20"/>
          <w:szCs w:val="20"/>
          <w:color w:val="auto"/>
        </w:rPr>
      </w:pPr>
      <w:r>
        <w:rPr>
          <w:rFonts w:ascii="Arial" w:cs="Arial" w:eastAsia="Arial" w:hAnsi="Arial"/>
          <w:sz w:val="16"/>
          <w:szCs w:val="16"/>
          <w:b w:val="1"/>
          <w:bCs w:val="1"/>
          <w:color w:val="auto"/>
        </w:rPr>
        <w:t xml:space="preserve">7.3 Mergers or Acquisitions. </w:t>
      </w:r>
      <w:r>
        <w:rPr>
          <w:rFonts w:ascii="Arial" w:cs="Arial" w:eastAsia="Arial" w:hAnsi="Arial"/>
          <w:sz w:val="16"/>
          <w:szCs w:val="16"/>
          <w:color w:val="auto"/>
        </w:rPr>
        <w:t>Merge or consolidate, or permit any of its Subsidiaries to merge or consolidate, with any other Person, or acquire,</w:t>
      </w:r>
      <w:r>
        <w:rPr>
          <w:rFonts w:ascii="Arial" w:cs="Arial" w:eastAsia="Arial" w:hAnsi="Arial"/>
          <w:sz w:val="16"/>
          <w:szCs w:val="16"/>
          <w:b w:val="1"/>
          <w:bCs w:val="1"/>
          <w:color w:val="auto"/>
        </w:rPr>
        <w:t xml:space="preserve"> </w:t>
      </w:r>
      <w:r>
        <w:rPr>
          <w:rFonts w:ascii="Arial" w:cs="Arial" w:eastAsia="Arial" w:hAnsi="Arial"/>
          <w:sz w:val="16"/>
          <w:szCs w:val="16"/>
          <w:color w:val="auto"/>
        </w:rPr>
        <w:t>or permit any of its Subsidiaries to acquire, all or substantially all of the capital stock, shares or property of another Person, other than Permitted Acquisitions. A Subsidiary may merge or consolidate into another Subsidiary (provided such surviving Subsidiary is a “co-Borrower” hereunder or has provided a secured Guaranty of Borrower’s Obligations hereunder) or with (or into) Borrower provided Borrower is the surviving legal entity, and as long as no Event of Default is occurring prior thereto or arises as a result therefrom. Without limiting the foregoing, Borrower shall obtain Required Lenders’ prior written consent before entering into any binding contractual arrangement with any Person to attempt to facilitate a merger or acquisition of Borrower, if either: (i) an Event of Default exists when such agreement is entered into by Borrower; or (ii) such agreement (x) would result in a Change in Control and (y) would not result in the Obligations being repaid in full in cash upon consummation of such Change in Control.</w:t>
      </w:r>
    </w:p>
    <w:p>
      <w:pPr>
        <w:spacing w:after="0" w:line="51"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7.4 Indebtedness. </w:t>
      </w:r>
      <w:r>
        <w:rPr>
          <w:rFonts w:ascii="Arial" w:cs="Arial" w:eastAsia="Arial" w:hAnsi="Arial"/>
          <w:sz w:val="16"/>
          <w:szCs w:val="16"/>
          <w:color w:val="auto"/>
        </w:rPr>
        <w:t>Create, incur, assume, or be liable for any Indebtedness, or permit any Subsidiary to do so, other than Permitted Indebtedness.</w:t>
      </w:r>
    </w:p>
    <w:p>
      <w:pPr>
        <w:spacing w:after="0" w:line="140" w:lineRule="exact"/>
        <w:rPr>
          <w:sz w:val="20"/>
          <w:szCs w:val="20"/>
          <w:color w:val="auto"/>
        </w:rPr>
      </w:pPr>
    </w:p>
    <w:p>
      <w:pPr>
        <w:ind w:left="4" w:right="80" w:firstLine="440"/>
        <w:spacing w:after="0" w:line="281" w:lineRule="auto"/>
        <w:rPr>
          <w:sz w:val="20"/>
          <w:szCs w:val="20"/>
          <w:color w:val="auto"/>
        </w:rPr>
      </w:pPr>
      <w:r>
        <w:rPr>
          <w:rFonts w:ascii="Arial" w:cs="Arial" w:eastAsia="Arial" w:hAnsi="Arial"/>
          <w:sz w:val="17"/>
          <w:szCs w:val="17"/>
          <w:b w:val="1"/>
          <w:bCs w:val="1"/>
          <w:color w:val="auto"/>
        </w:rPr>
        <w:t xml:space="preserve">7.5 Encumbrance. </w:t>
      </w:r>
      <w:r>
        <w:rPr>
          <w:rFonts w:ascii="Arial" w:cs="Arial" w:eastAsia="Arial" w:hAnsi="Arial"/>
          <w:sz w:val="17"/>
          <w:szCs w:val="17"/>
          <w:color w:val="auto"/>
        </w:rPr>
        <w:t>Create, incur, allow, or suffer any Lien on any of its property, or assign or convey any right to receive income,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sale of any Accounts, or permit any of its Subsidiaries to do so, except for Permitted Liens, or permit any Collateral not to be subject to the first priority security interest granted herein (except for Permitted Liens that are permitted by the terms of this Agreement to have priority over Collateral Agent’s Lien), or enter into any agreement, document, instrument or other arrangement (except with or in favor of Collateral Agent,</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0" w:right="459" w:bottom="1440" w:gutter="0" w:footer="0" w:header="0"/>
        </w:sectPr>
      </w:pPr>
    </w:p>
    <w:bookmarkStart w:id="28" w:name="page29"/>
    <w:bookmarkEnd w:id="28"/>
    <w:p>
      <w:pPr>
        <w:jc w:val="both"/>
        <w:ind w:left="4" w:right="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ratable benefit of the Lenders)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as is otherwise permitted in Section 7.1 hereof and the definition of “</w:t>
      </w:r>
      <w:r>
        <w:rPr>
          <w:rFonts w:ascii="Arial" w:cs="Arial" w:eastAsia="Arial" w:hAnsi="Arial"/>
          <w:sz w:val="17"/>
          <w:szCs w:val="17"/>
          <w:b w:val="1"/>
          <w:bCs w:val="1"/>
          <w:color w:val="auto"/>
        </w:rPr>
        <w:t>Permitted Liens</w:t>
      </w:r>
      <w:r>
        <w:rPr>
          <w:rFonts w:ascii="Arial" w:cs="Arial" w:eastAsia="Arial" w:hAnsi="Arial"/>
          <w:sz w:val="17"/>
          <w:szCs w:val="17"/>
          <w:color w:val="auto"/>
        </w:rPr>
        <w:t>” herein.</w:t>
      </w:r>
    </w:p>
    <w:p>
      <w:pPr>
        <w:spacing w:after="0" w:line="5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7.6 Maintenance of Collateral Accounts. </w:t>
      </w:r>
      <w:r>
        <w:rPr>
          <w:rFonts w:ascii="Arial" w:cs="Arial" w:eastAsia="Arial" w:hAnsi="Arial"/>
          <w:sz w:val="18"/>
          <w:szCs w:val="18"/>
          <w:color w:val="auto"/>
        </w:rPr>
        <w:t>Maintain any Collateral Account except pursuant to the terms of Section 6.6 hereof.</w:t>
      </w:r>
    </w:p>
    <w:p>
      <w:pPr>
        <w:spacing w:after="0" w:line="117" w:lineRule="exact"/>
        <w:rPr>
          <w:sz w:val="20"/>
          <w:szCs w:val="20"/>
          <w:color w:val="auto"/>
        </w:rPr>
      </w:pPr>
    </w:p>
    <w:p>
      <w:pPr>
        <w:ind w:left="4" w:firstLine="440"/>
        <w:spacing w:after="0" w:line="258" w:lineRule="auto"/>
        <w:rPr>
          <w:sz w:val="20"/>
          <w:szCs w:val="20"/>
          <w:color w:val="auto"/>
        </w:rPr>
      </w:pPr>
      <w:r>
        <w:rPr>
          <w:rFonts w:ascii="Arial" w:cs="Arial" w:eastAsia="Arial" w:hAnsi="Arial"/>
          <w:sz w:val="18"/>
          <w:szCs w:val="18"/>
          <w:b w:val="1"/>
          <w:bCs w:val="1"/>
          <w:color w:val="auto"/>
        </w:rPr>
        <w:t xml:space="preserve">7.7 Distributions; Investments. </w:t>
      </w:r>
      <w:r>
        <w:rPr>
          <w:rFonts w:ascii="Arial" w:cs="Arial" w:eastAsia="Arial" w:hAnsi="Arial"/>
          <w:sz w:val="18"/>
          <w:szCs w:val="18"/>
          <w:color w:val="auto"/>
        </w:rPr>
        <w:t>(a) Pay any dividends (other than dividends payable solely in capital stock) or make any distribution or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in respect of or redeem, retire or purchase any capital stock (other than repurchases pursuant to the terms of employee stock purchase plans, employee restricted stock agreements, stockholder rights plans, director or consultant stock option plans, or similar plans, provided such repurchases do not exceed One Hundred Thousand Dollars ($100,000.00) in the aggregate per fiscal year) or (b) directly or indirectly make any Investment other than Permitted Investments, or permit any of its Subsidiaries to do so.</w:t>
      </w:r>
    </w:p>
    <w:p>
      <w:pPr>
        <w:spacing w:after="0" w:line="75" w:lineRule="exact"/>
        <w:rPr>
          <w:sz w:val="20"/>
          <w:szCs w:val="20"/>
          <w:color w:val="auto"/>
        </w:rPr>
      </w:pPr>
    </w:p>
    <w:p>
      <w:pPr>
        <w:jc w:val="both"/>
        <w:ind w:left="4" w:right="20" w:firstLine="440"/>
        <w:spacing w:after="0" w:line="289" w:lineRule="auto"/>
        <w:rPr>
          <w:sz w:val="20"/>
          <w:szCs w:val="20"/>
          <w:color w:val="auto"/>
        </w:rPr>
      </w:pPr>
      <w:r>
        <w:rPr>
          <w:rFonts w:ascii="Arial" w:cs="Arial" w:eastAsia="Arial" w:hAnsi="Arial"/>
          <w:sz w:val="16"/>
          <w:szCs w:val="16"/>
          <w:b w:val="1"/>
          <w:bCs w:val="1"/>
          <w:color w:val="auto"/>
        </w:rPr>
        <w:t xml:space="preserve">7.8 Transactions with Affiliates. </w:t>
      </w:r>
      <w:r>
        <w:rPr>
          <w:rFonts w:ascii="Arial" w:cs="Arial" w:eastAsia="Arial" w:hAnsi="Arial"/>
          <w:sz w:val="16"/>
          <w:szCs w:val="16"/>
          <w:color w:val="auto"/>
        </w:rPr>
        <w:t>Directly or indirectly enter into or permit to exist any material transaction with any Affiliate of Borrower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of its Subsidiaries, except for (a) transactions that are in the ordinary course of Borrower’s or such Subsidiary’s business, upon fair and reasonable terms that are no less favorable to Borrower or such Subsidiary than would be obtained in an arm’s length transaction with a non- affiliated Person,</w:t>
      </w:r>
    </w:p>
    <w:p>
      <w:pPr>
        <w:spacing w:after="0" w:line="2" w:lineRule="exact"/>
        <w:rPr>
          <w:sz w:val="20"/>
          <w:szCs w:val="20"/>
          <w:color w:val="auto"/>
        </w:rPr>
      </w:pPr>
    </w:p>
    <w:p>
      <w:pPr>
        <w:ind w:left="4" w:hanging="4"/>
        <w:spacing w:after="0" w:line="302" w:lineRule="auto"/>
        <w:tabs>
          <w:tab w:leader="none" w:pos="259" w:val="left"/>
        </w:tabs>
        <w:numPr>
          <w:ilvl w:val="0"/>
          <w:numId w:val="44"/>
        </w:numPr>
        <w:rPr>
          <w:rFonts w:ascii="Arial" w:cs="Arial" w:eastAsia="Arial" w:hAnsi="Arial"/>
          <w:sz w:val="16"/>
          <w:szCs w:val="16"/>
          <w:color w:val="auto"/>
        </w:rPr>
      </w:pPr>
      <w:r>
        <w:rPr>
          <w:rFonts w:ascii="Arial" w:cs="Arial" w:eastAsia="Arial" w:hAnsi="Arial"/>
          <w:sz w:val="16"/>
          <w:szCs w:val="16"/>
          <w:color w:val="auto"/>
        </w:rPr>
        <w:t>Subordinated Debt, (c) equity investments by Borrower’s investors in Borrower or its Subsidiaries, (d) intercompany loans by and between Borrower and any of its Subsidiaries to the extent permitted by clauses (f) or (k) in the defined term “Permitted Investments”, (e) compensation related arrangements for Borrower’s officers or Board of Directors (i) in the ordinary course of business or (ii) approved by Borrower’s Board of Directors.</w:t>
      </w:r>
    </w:p>
    <w:p>
      <w:pPr>
        <w:spacing w:after="0" w:line="43" w:lineRule="exact"/>
        <w:rPr>
          <w:sz w:val="20"/>
          <w:szCs w:val="20"/>
          <w:color w:val="auto"/>
        </w:rPr>
      </w:pPr>
    </w:p>
    <w:p>
      <w:pPr>
        <w:ind w:left="4" w:right="40" w:firstLine="440"/>
        <w:spacing w:after="0" w:line="289" w:lineRule="auto"/>
        <w:rPr>
          <w:sz w:val="20"/>
          <w:szCs w:val="20"/>
          <w:color w:val="auto"/>
        </w:rPr>
      </w:pPr>
      <w:r>
        <w:rPr>
          <w:rFonts w:ascii="Arial" w:cs="Arial" w:eastAsia="Arial" w:hAnsi="Arial"/>
          <w:sz w:val="17"/>
          <w:szCs w:val="17"/>
          <w:b w:val="1"/>
          <w:bCs w:val="1"/>
          <w:color w:val="auto"/>
        </w:rPr>
        <w:t xml:space="preserve">7.9 Subordinated Debt. </w:t>
      </w:r>
      <w:r>
        <w:rPr>
          <w:rFonts w:ascii="Arial" w:cs="Arial" w:eastAsia="Arial" w:hAnsi="Arial"/>
          <w:sz w:val="17"/>
          <w:szCs w:val="17"/>
          <w:color w:val="auto"/>
        </w:rPr>
        <w:t>(a) Make or permit any payment on any Subordinated Debt, except under the terms of the subordination, intercreditor,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similar agreement to which such Subordinated Debt is subject, or (b) amend any provision in any document relating to the Subordinated Debt which would increase the amount thereof or adversely affect the subordination thereof to Obligations owed to the Lenders.</w:t>
      </w:r>
    </w:p>
    <w:p>
      <w:pPr>
        <w:spacing w:after="0" w:line="50"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b w:val="1"/>
          <w:bCs w:val="1"/>
          <w:color w:val="auto"/>
        </w:rPr>
        <w:t xml:space="preserve">7.10 Compliance. </w:t>
      </w:r>
      <w:r>
        <w:rPr>
          <w:rFonts w:ascii="Arial" w:cs="Arial" w:eastAsia="Arial" w:hAnsi="Arial"/>
          <w:sz w:val="17"/>
          <w:szCs w:val="17"/>
          <w:color w:val="auto"/>
        </w:rPr>
        <w:t>Become an “investment company” or a company controlled by an “investment company”, under the Investment Company Act</w:t>
      </w:r>
      <w:r>
        <w:rPr>
          <w:rFonts w:ascii="Arial" w:cs="Arial" w:eastAsia="Arial" w:hAnsi="Arial"/>
          <w:sz w:val="17"/>
          <w:szCs w:val="17"/>
          <w:b w:val="1"/>
          <w:bCs w:val="1"/>
          <w:color w:val="auto"/>
        </w:rPr>
        <w:t xml:space="preserve"> </w:t>
      </w:r>
      <w:r>
        <w:rPr>
          <w:rFonts w:ascii="Arial" w:cs="Arial" w:eastAsia="Arial" w:hAnsi="Arial"/>
          <w:sz w:val="17"/>
          <w:szCs w:val="17"/>
          <w:color w:val="auto"/>
        </w:rPr>
        <w:t>of 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Change,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 Subsidiaries, including any liability to the Pension Benefit Guaranty Corporation or its successors or any other Governmental Authority.</w:t>
      </w:r>
    </w:p>
    <w:p>
      <w:pPr>
        <w:spacing w:after="0" w:line="66"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b w:val="1"/>
          <w:bCs w:val="1"/>
          <w:color w:val="auto"/>
        </w:rPr>
        <w:t xml:space="preserve">7.11 Compliance with Anti-Terrorism Laws. </w:t>
      </w:r>
      <w:r>
        <w:rPr>
          <w:rFonts w:ascii="Arial" w:cs="Arial" w:eastAsia="Arial" w:hAnsi="Arial"/>
          <w:sz w:val="17"/>
          <w:szCs w:val="17"/>
          <w:color w:val="auto"/>
        </w:rPr>
        <w:t>Collateral Agent hereby notifies Borrower and each of its Subsidiaries that pursuant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requirements of Anti-Terrorism Laws, and Collateral Agent’s policies and practices, Collateral Agent is required to obtain, verify and record certain information and documentation that identifies Borrower and each of its Subsidiaries and their principals, which information includes the name and address of Borrower and each of its Subsidiaries and their principals and such other information that will allow Collateral Agent to identify such party in accordance with Anti-Terrorism Laws. Neither Borrower nor any of its Subsidiaries shall, nor shall Borrower or any of its Subsidiaries permit any Affiliate to, directly or indirectly, knowingly enter into any documents, instruments, agreements or contracts with any Person listed on the OFAC Lists. Borrower and each of its Subsidiaries shall immediately notify Collateral Agent if Borrower or such Subsidiary has knowledge that Borrower, or any Subsidiary or Affiliate of Borrower, is listed on the OFAC Lists or (a) is convicted on, (b) pleads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(c) is indicted on, or (d) is arraigned and held over on charges involving money laundering or predicate crimes to money laundering. Neither Borrower nor any of its Subsidiaries shall, nor shall Borrower or any of its Subsidiaries, permit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w:t>
      </w:r>
    </w:p>
    <w:p>
      <w:pPr>
        <w:spacing w:after="0" w:line="11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29" w:name="page30"/>
    <w:bookmarkEnd w:id="29"/>
    <w:p>
      <w:pPr>
        <w:jc w:val="both"/>
        <w:ind w:left="4"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72" w:lineRule="exact"/>
        <w:rPr>
          <w:sz w:val="20"/>
          <w:szCs w:val="20"/>
          <w:color w:val="auto"/>
        </w:rPr>
      </w:pPr>
    </w:p>
    <w:p>
      <w:pPr>
        <w:jc w:val="both"/>
        <w:ind w:left="4" w:right="40" w:firstLine="440"/>
        <w:spacing w:after="0" w:line="289" w:lineRule="auto"/>
        <w:rPr>
          <w:sz w:val="20"/>
          <w:szCs w:val="20"/>
          <w:color w:val="auto"/>
        </w:rPr>
      </w:pPr>
      <w:r>
        <w:rPr>
          <w:rFonts w:ascii="Arial" w:cs="Arial" w:eastAsia="Arial" w:hAnsi="Arial"/>
          <w:sz w:val="16"/>
          <w:szCs w:val="16"/>
          <w:b w:val="1"/>
          <w:bCs w:val="1"/>
          <w:color w:val="auto"/>
        </w:rPr>
        <w:t>7.12 89bio Lithuania Assets</w:t>
      </w:r>
      <w:r>
        <w:rPr>
          <w:rFonts w:ascii="Arial" w:cs="Arial" w:eastAsia="Arial" w:hAnsi="Arial"/>
          <w:sz w:val="16"/>
          <w:szCs w:val="16"/>
          <w:color w:val="auto"/>
        </w:rPr>
        <w:t>. Permit (i) the aggregate value of cash, Cash Equivalents and other assets held, excluding any Lithuanian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by 89bio Lithuania to exceed Fifty Thousand Dollars ($50,000) (or equivalent) at any time; provided, however, that the funds in excess of exceed Fifty Thousand Dollars ($50,000) comprising the Lithuanian Subsidiary Investments are held by 89bio Lithuania for not more than ten</w:t>
      </w:r>
    </w:p>
    <w:p>
      <w:pPr>
        <w:spacing w:after="0" w:line="2" w:lineRule="exact"/>
        <w:rPr>
          <w:sz w:val="20"/>
          <w:szCs w:val="20"/>
          <w:color w:val="auto"/>
        </w:rPr>
      </w:pPr>
    </w:p>
    <w:p>
      <w:pPr>
        <w:ind w:left="4" w:right="100" w:hanging="4"/>
        <w:spacing w:after="0" w:line="260" w:lineRule="auto"/>
        <w:tabs>
          <w:tab w:leader="none" w:pos="3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consecutive Business Days before being used to pay whatever invoices or other amounts owed by 89bio Lithuania, and (ii) 89bio Lithuania to own or hold any Intellectual Property at any time.</w:t>
      </w:r>
    </w:p>
    <w:p>
      <w:pPr>
        <w:spacing w:after="0" w:line="73" w:lineRule="exact"/>
        <w:rPr>
          <w:sz w:val="20"/>
          <w:szCs w:val="20"/>
          <w:color w:val="auto"/>
        </w:rPr>
      </w:pPr>
    </w:p>
    <w:p>
      <w:pPr>
        <w:ind w:left="4" w:firstLine="440"/>
        <w:spacing w:after="0" w:line="289" w:lineRule="auto"/>
        <w:rPr>
          <w:sz w:val="20"/>
          <w:szCs w:val="20"/>
          <w:color w:val="auto"/>
        </w:rPr>
      </w:pPr>
      <w:r>
        <w:rPr>
          <w:rFonts w:ascii="Arial" w:cs="Arial" w:eastAsia="Arial" w:hAnsi="Arial"/>
          <w:sz w:val="17"/>
          <w:szCs w:val="17"/>
          <w:b w:val="1"/>
          <w:bCs w:val="1"/>
          <w:color w:val="auto"/>
        </w:rPr>
        <w:t>7.13 89bio Israel</w:t>
      </w:r>
      <w:r>
        <w:rPr>
          <w:rFonts w:ascii="Arial" w:cs="Arial" w:eastAsia="Arial" w:hAnsi="Arial"/>
          <w:sz w:val="17"/>
          <w:szCs w:val="17"/>
          <w:color w:val="auto"/>
        </w:rPr>
        <w:t>. Permit the aggregate value of cash and investments made in accordance with the Investment Policy by 89bio Israel to exceed, at</w:t>
      </w:r>
      <w:r>
        <w:rPr>
          <w:rFonts w:ascii="Arial" w:cs="Arial" w:eastAsia="Arial" w:hAnsi="Arial"/>
          <w:sz w:val="17"/>
          <w:szCs w:val="17"/>
          <w:b w:val="1"/>
          <w:bCs w:val="1"/>
          <w:color w:val="auto"/>
        </w:rPr>
        <w:t xml:space="preserve"> </w:t>
      </w:r>
      <w:r>
        <w:rPr>
          <w:rFonts w:ascii="Arial" w:cs="Arial" w:eastAsia="Arial" w:hAnsi="Arial"/>
          <w:sz w:val="17"/>
          <w:szCs w:val="17"/>
          <w:color w:val="auto"/>
        </w:rPr>
        <w:t>any time, the lower of (a) Seven Million Dollars ($7,000,000.00) (or equivalent) and (b) twenty percent (20%) of the aggregate value of cash and investments made in accordance with the Investment Policy held by 89bio Israel by Borrower and its Subsidiaries.</w:t>
      </w:r>
    </w:p>
    <w:p>
      <w:pPr>
        <w:spacing w:after="0" w:line="185" w:lineRule="exact"/>
        <w:rPr>
          <w:sz w:val="20"/>
          <w:szCs w:val="20"/>
          <w:color w:val="auto"/>
        </w:rPr>
      </w:pPr>
    </w:p>
    <w:p>
      <w:pPr>
        <w:ind w:left="424" w:hanging="424"/>
        <w:spacing w:after="0"/>
        <w:tabs>
          <w:tab w:leader="none" w:pos="424"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117" w:lineRule="exact"/>
        <w:rPr>
          <w:sz w:val="20"/>
          <w:szCs w:val="20"/>
          <w:color w:val="auto"/>
        </w:rPr>
      </w:pPr>
    </w:p>
    <w:p>
      <w:pPr>
        <w:ind w:left="4" w:right="100" w:firstLine="440"/>
        <w:spacing w:after="0" w:line="281" w:lineRule="auto"/>
        <w:rPr>
          <w:sz w:val="20"/>
          <w:szCs w:val="20"/>
          <w:color w:val="auto"/>
        </w:rPr>
      </w:pPr>
      <w:r>
        <w:rPr>
          <w:rFonts w:ascii="Arial" w:cs="Arial" w:eastAsia="Arial" w:hAnsi="Arial"/>
          <w:sz w:val="17"/>
          <w:szCs w:val="17"/>
          <w:b w:val="1"/>
          <w:bCs w:val="1"/>
          <w:color w:val="auto"/>
        </w:rPr>
        <w:t xml:space="preserve">8.1 Payment Default. </w:t>
      </w:r>
      <w:r>
        <w:rPr>
          <w:rFonts w:ascii="Arial" w:cs="Arial" w:eastAsia="Arial" w:hAnsi="Arial"/>
          <w:sz w:val="17"/>
          <w:szCs w:val="17"/>
          <w:color w:val="auto"/>
        </w:rPr>
        <w:t>Borrower fails to (a) make any payment of principal or interest on any Credit Extension on its due date, or (b) pay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Obligations within three (3) Business Days after such Obligations are due and payable (which three (3) Business Day grace period shall not apply to payments due on the Maturity Date or the date of acceleration pursuant to Section 9.1 (a) hereof). During the cure period, the failure to cure the payment default is not an Event of Default (but no Credit Extension will be made during the cure period);</w:t>
      </w:r>
    </w:p>
    <w:p>
      <w:pPr>
        <w:spacing w:after="0" w:line="5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8.2 Covenant Default.</w:t>
      </w:r>
    </w:p>
    <w:p>
      <w:pPr>
        <w:spacing w:after="0" w:line="121" w:lineRule="exact"/>
        <w:rPr>
          <w:sz w:val="20"/>
          <w:szCs w:val="20"/>
          <w:color w:val="auto"/>
        </w:rPr>
      </w:pPr>
    </w:p>
    <w:p>
      <w:pPr>
        <w:ind w:left="4" w:right="220" w:firstLine="987"/>
        <w:spacing w:after="0" w:line="259" w:lineRule="auto"/>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Borrower or any of its Subsidiaries fails or neglects to perform any obligation in Sections 6.2 (Financial Statements, Reports, Certificates), 6.4 (Taxes), 6.5 (Insurance), 6.6 (Operating Accounts), 6.7 (Protection of Intellectual Property Rights), 6.9 (Notice of Litigation and Default), 6.11 (Landlord Waivers; Bailee Waivers), 6.12 (Creation/Acquisition of Subsidiaries) or 6.13 (Further Assurances) or Borrower violates any covenant in Section 7; or</w:t>
      </w:r>
    </w:p>
    <w:p>
      <w:pPr>
        <w:spacing w:after="0" w:line="78" w:lineRule="exact"/>
        <w:rPr>
          <w:rFonts w:ascii="Arial" w:cs="Arial" w:eastAsia="Arial" w:hAnsi="Arial"/>
          <w:sz w:val="18"/>
          <w:szCs w:val="18"/>
          <w:color w:val="auto"/>
        </w:rPr>
      </w:pPr>
    </w:p>
    <w:p>
      <w:pPr>
        <w:ind w:left="4" w:right="100" w:firstLine="987"/>
        <w:spacing w:after="0" w:line="290" w:lineRule="auto"/>
        <w:tabs>
          <w:tab w:leader="none" w:pos="125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Borrower, or any of its Subsidiaries,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twenty (20) days after the occurrence thereof; provided, however, that if the default cannot by its nature be cured within the twenty (20) day period or cannot after diligent attempts by Borrower be cured within such twenty (20)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Grace periods provided under this Section shall not apply, among other things, to financial covenants or any other covenants set forth in subsection (a) above;</w:t>
      </w:r>
    </w:p>
    <w:p>
      <w:pPr>
        <w:spacing w:after="0" w:line="5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8.3 Material Adverse Change. </w:t>
      </w:r>
      <w:r>
        <w:rPr>
          <w:rFonts w:ascii="Arial" w:cs="Arial" w:eastAsia="Arial" w:hAnsi="Arial"/>
          <w:sz w:val="18"/>
          <w:szCs w:val="18"/>
          <w:color w:val="auto"/>
        </w:rPr>
        <w:t>A Material Adverse Change occurs;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8.4 Attachment; Levy; Restraint on Business.</w:t>
      </w:r>
    </w:p>
    <w:p>
      <w:pPr>
        <w:spacing w:after="0" w:line="121" w:lineRule="exact"/>
        <w:rPr>
          <w:sz w:val="20"/>
          <w:szCs w:val="20"/>
          <w:color w:val="auto"/>
        </w:rPr>
      </w:pPr>
    </w:p>
    <w:p>
      <w:pPr>
        <w:ind w:left="4" w:right="40" w:firstLine="987"/>
        <w:spacing w:after="0" w:line="255" w:lineRule="auto"/>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The service of process seeking to attach, by trustee or similar process, any funds of Borrower or any of its Subsidiaries or of any entity under control of Borrower or its Subsidiaries on deposit with any Lender or any Lender’s Affiliate or any bank or other institution at which Borrower or any of its Subsidiaries maintains a Collateral Account, or (ii) a notice of lien, levy, or assessment is filed against Borrower or any of its Subsidiaries or their respective assets by any government agency, and the same under subclauses (i) and (ii) hereof are not, within ten (10) days after the occurrence thereof, discharged or stayed (whether through the posting of a bond or otherwise); provided, however, no Credit Extensions shall be made during any ten (10) day cure period; and</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30" w:name="page31"/>
    <w:bookmarkEnd w:id="30"/>
    <w:p>
      <w:pPr>
        <w:jc w:val="both"/>
        <w:ind w:left="4" w:right="300" w:firstLine="987"/>
        <w:spacing w:after="0" w:line="342" w:lineRule="auto"/>
        <w:tabs>
          <w:tab w:leader="none" w:pos="1250" w:val="left"/>
        </w:tabs>
        <w:numPr>
          <w:ilvl w:val="0"/>
          <w:numId w:val="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any material portion of Borrower’s or any of its Subsidiaries’ assets is attached, seized, levied on, or comes into possession of a trustee or receiver, or (ii) any court order enjoins, restrains, or prevents Borrower or any of its Subsidiaries from conducting any part of its business;</w:t>
      </w:r>
    </w:p>
    <w:p>
      <w:pPr>
        <w:spacing w:after="0" w:line="12" w:lineRule="exact"/>
        <w:rPr>
          <w:sz w:val="20"/>
          <w:szCs w:val="20"/>
          <w:color w:val="auto"/>
        </w:rPr>
      </w:pPr>
    </w:p>
    <w:p>
      <w:pPr>
        <w:ind w:left="4" w:firstLine="440"/>
        <w:spacing w:after="0" w:line="298" w:lineRule="auto"/>
        <w:rPr>
          <w:sz w:val="20"/>
          <w:szCs w:val="20"/>
          <w:color w:val="auto"/>
        </w:rPr>
      </w:pPr>
      <w:r>
        <w:rPr>
          <w:rFonts w:ascii="Arial" w:cs="Arial" w:eastAsia="Arial" w:hAnsi="Arial"/>
          <w:sz w:val="16"/>
          <w:szCs w:val="16"/>
          <w:b w:val="1"/>
          <w:bCs w:val="1"/>
          <w:color w:val="auto"/>
        </w:rPr>
        <w:t xml:space="preserve">8.5 Insolvency. </w:t>
      </w:r>
      <w:r>
        <w:rPr>
          <w:rFonts w:ascii="Arial" w:cs="Arial" w:eastAsia="Arial" w:hAnsi="Arial"/>
          <w:sz w:val="16"/>
          <w:szCs w:val="16"/>
          <w:color w:val="auto"/>
        </w:rPr>
        <w:t>(a) Borrower, or Borrower and its Subsidiaries taken as a whole, is or becomes Insolvent; (b) Borrower or any of its Subsidiaries</w:t>
      </w:r>
      <w:r>
        <w:rPr>
          <w:rFonts w:ascii="Arial" w:cs="Arial" w:eastAsia="Arial" w:hAnsi="Arial"/>
          <w:sz w:val="16"/>
          <w:szCs w:val="16"/>
          <w:b w:val="1"/>
          <w:bCs w:val="1"/>
          <w:color w:val="auto"/>
        </w:rPr>
        <w:t xml:space="preserve"> </w:t>
      </w:r>
      <w:r>
        <w:rPr>
          <w:rFonts w:ascii="Arial" w:cs="Arial" w:eastAsia="Arial" w:hAnsi="Arial"/>
          <w:sz w:val="16"/>
          <w:szCs w:val="16"/>
          <w:color w:val="auto"/>
        </w:rPr>
        <w:t>begins an Insolvency Proceeding; or (c) an Insolvency Proceeding is begun against Borrower or any of its Subsidiaries and not dismissed or stayed within forty-five (45) days (but no Credit Extensions shall be made while Borrower or any Subsidiary is Insolvent and/or until any Insolvency Proceeding is dismissed); provided that no Event of Default under this Section 8.5 shall be deemed to have occurred with respect to 89Bio Management following the transfer of all or substantially all of the assets of 89Bio Management to another Borrower as permitted under Sections 7.1, 7.2 or 7.3.</w:t>
      </w:r>
    </w:p>
    <w:p>
      <w:pPr>
        <w:spacing w:after="0" w:line="46" w:lineRule="exact"/>
        <w:rPr>
          <w:sz w:val="20"/>
          <w:szCs w:val="20"/>
          <w:color w:val="auto"/>
        </w:rPr>
      </w:pPr>
    </w:p>
    <w:p>
      <w:pPr>
        <w:ind w:left="4" w:firstLine="440"/>
        <w:spacing w:after="0" w:line="289" w:lineRule="auto"/>
        <w:rPr>
          <w:sz w:val="20"/>
          <w:szCs w:val="20"/>
          <w:color w:val="auto"/>
        </w:rPr>
      </w:pPr>
      <w:r>
        <w:rPr>
          <w:rFonts w:ascii="Arial" w:cs="Arial" w:eastAsia="Arial" w:hAnsi="Arial"/>
          <w:sz w:val="17"/>
          <w:szCs w:val="17"/>
          <w:b w:val="1"/>
          <w:bCs w:val="1"/>
          <w:color w:val="auto"/>
        </w:rPr>
        <w:t xml:space="preserve">8.6 Other Agreements. </w:t>
      </w:r>
      <w:r>
        <w:rPr>
          <w:rFonts w:ascii="Arial" w:cs="Arial" w:eastAsia="Arial" w:hAnsi="Arial"/>
          <w:sz w:val="17"/>
          <w:szCs w:val="17"/>
          <w:color w:val="auto"/>
        </w:rPr>
        <w:t>There is a default in any agreement to which Borrower or any of its Subsidiaries is a party with a third party or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in a right by such third party or parties, whether or not exercised, to accelerate the maturity of any Indebtedness in an amount in excess of Two Hundred Fifty Thousand Dollars ($250,000.00) or that could reasonably be expected to have a Material Adverse Change;</w:t>
      </w:r>
    </w:p>
    <w:p>
      <w:pPr>
        <w:spacing w:after="0" w:line="50" w:lineRule="exact"/>
        <w:rPr>
          <w:sz w:val="20"/>
          <w:szCs w:val="20"/>
          <w:color w:val="auto"/>
        </w:rPr>
      </w:pPr>
    </w:p>
    <w:p>
      <w:pPr>
        <w:ind w:left="4" w:right="100" w:firstLine="440"/>
        <w:spacing w:after="0" w:line="289" w:lineRule="auto"/>
        <w:rPr>
          <w:sz w:val="20"/>
          <w:szCs w:val="20"/>
          <w:color w:val="auto"/>
        </w:rPr>
      </w:pPr>
      <w:r>
        <w:rPr>
          <w:rFonts w:ascii="Arial" w:cs="Arial" w:eastAsia="Arial" w:hAnsi="Arial"/>
          <w:sz w:val="16"/>
          <w:szCs w:val="16"/>
          <w:b w:val="1"/>
          <w:bCs w:val="1"/>
          <w:color w:val="auto"/>
        </w:rPr>
        <w:t xml:space="preserve">8.7 Judgments. </w:t>
      </w:r>
      <w:r>
        <w:rPr>
          <w:rFonts w:ascii="Arial" w:cs="Arial" w:eastAsia="Arial" w:hAnsi="Arial"/>
          <w:sz w:val="16"/>
          <w:szCs w:val="16"/>
          <w:color w:val="auto"/>
        </w:rPr>
        <w:t>One or more judgments, orders, or decrees for the payment of money in an amount, individually or in the aggregate, of at least</w:t>
      </w:r>
      <w:r>
        <w:rPr>
          <w:rFonts w:ascii="Arial" w:cs="Arial" w:eastAsia="Arial" w:hAnsi="Arial"/>
          <w:sz w:val="16"/>
          <w:szCs w:val="16"/>
          <w:b w:val="1"/>
          <w:bCs w:val="1"/>
          <w:color w:val="auto"/>
        </w:rPr>
        <w:t xml:space="preserve"> </w:t>
      </w:r>
      <w:r>
        <w:rPr>
          <w:rFonts w:ascii="Arial" w:cs="Arial" w:eastAsia="Arial" w:hAnsi="Arial"/>
          <w:sz w:val="16"/>
          <w:szCs w:val="16"/>
          <w:color w:val="auto"/>
        </w:rPr>
        <w:t>Two Hundred Fifty Thousand Dollars ($250,000.00) (not covered by independent third-party insurance as to which liability has been accepted by such insurance carrier) shall be rendered against Borrower or any of its Subsidiaries and shall remain unsatisfied, unvacated, or unstayed for a period of ten</w:t>
      </w:r>
    </w:p>
    <w:p>
      <w:pPr>
        <w:spacing w:after="0" w:line="2" w:lineRule="exact"/>
        <w:rPr>
          <w:sz w:val="20"/>
          <w:szCs w:val="20"/>
          <w:color w:val="auto"/>
        </w:rPr>
      </w:pPr>
    </w:p>
    <w:p>
      <w:pPr>
        <w:ind w:left="4" w:right="140" w:hanging="4"/>
        <w:spacing w:after="0" w:line="260" w:lineRule="auto"/>
        <w:tabs>
          <w:tab w:leader="none" w:pos="349" w:val="left"/>
        </w:tabs>
        <w:numPr>
          <w:ilvl w:val="0"/>
          <w:numId w:val="50"/>
        </w:numPr>
        <w:rPr>
          <w:rFonts w:ascii="Arial" w:cs="Arial" w:eastAsia="Arial" w:hAnsi="Arial"/>
          <w:sz w:val="18"/>
          <w:szCs w:val="18"/>
          <w:color w:val="auto"/>
        </w:rPr>
      </w:pPr>
      <w:r>
        <w:rPr>
          <w:rFonts w:ascii="Arial" w:cs="Arial" w:eastAsia="Arial" w:hAnsi="Arial"/>
          <w:sz w:val="18"/>
          <w:szCs w:val="18"/>
          <w:color w:val="auto"/>
        </w:rPr>
        <w:t>days after the entry thereof (provided that no Credit Extensions will be made prior to the satisfaction, vacation, or stay of such judgment, order or decree);</w:t>
      </w:r>
    </w:p>
    <w:p>
      <w:pPr>
        <w:spacing w:after="0" w:line="73" w:lineRule="exact"/>
        <w:rPr>
          <w:sz w:val="20"/>
          <w:szCs w:val="20"/>
          <w:color w:val="auto"/>
        </w:rPr>
      </w:pPr>
    </w:p>
    <w:p>
      <w:pPr>
        <w:ind w:left="4" w:right="120" w:firstLine="440"/>
        <w:spacing w:after="0" w:line="261" w:lineRule="auto"/>
        <w:rPr>
          <w:sz w:val="20"/>
          <w:szCs w:val="20"/>
          <w:color w:val="auto"/>
        </w:rPr>
      </w:pPr>
      <w:r>
        <w:rPr>
          <w:rFonts w:ascii="Arial" w:cs="Arial" w:eastAsia="Arial" w:hAnsi="Arial"/>
          <w:sz w:val="18"/>
          <w:szCs w:val="18"/>
          <w:b w:val="1"/>
          <w:bCs w:val="1"/>
          <w:color w:val="auto"/>
        </w:rPr>
        <w:t xml:space="preserve">8.8 Misrepresentations. </w:t>
      </w:r>
      <w:r>
        <w:rPr>
          <w:rFonts w:ascii="Arial" w:cs="Arial" w:eastAsia="Arial" w:hAnsi="Arial"/>
          <w:sz w:val="18"/>
          <w:szCs w:val="18"/>
          <w:color w:val="auto"/>
        </w:rPr>
        <w:t>Borrower or any of its Subsidiaries or any Person acting for Borrower or any of its Subsidiaries makes any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 warranty, or other statement now or later in this Agreement, any Loan Document or in any writing delivered to Collateral Agent and/or Lenders or to induce Collateral Agent and/or the Lenders to enter this Agreement or any Loan Document, and such representation, warranty, or other statement is incorrect in any material respect when made;</w:t>
      </w:r>
    </w:p>
    <w:p>
      <w:pPr>
        <w:spacing w:after="0" w:line="72" w:lineRule="exact"/>
        <w:rPr>
          <w:sz w:val="20"/>
          <w:szCs w:val="20"/>
          <w:color w:val="auto"/>
        </w:rPr>
      </w:pPr>
    </w:p>
    <w:p>
      <w:pPr>
        <w:ind w:left="4" w:right="240" w:firstLine="440"/>
        <w:spacing w:after="0" w:line="289" w:lineRule="auto"/>
        <w:rPr>
          <w:sz w:val="20"/>
          <w:szCs w:val="20"/>
          <w:color w:val="auto"/>
        </w:rPr>
      </w:pPr>
      <w:r>
        <w:rPr>
          <w:rFonts w:ascii="Arial" w:cs="Arial" w:eastAsia="Arial" w:hAnsi="Arial"/>
          <w:sz w:val="17"/>
          <w:szCs w:val="17"/>
          <w:b w:val="1"/>
          <w:bCs w:val="1"/>
          <w:color w:val="auto"/>
        </w:rPr>
        <w:t xml:space="preserve">8.9 Subordinated Debt. </w:t>
      </w:r>
      <w:r>
        <w:rPr>
          <w:rFonts w:ascii="Arial" w:cs="Arial" w:eastAsia="Arial" w:hAnsi="Arial"/>
          <w:sz w:val="17"/>
          <w:szCs w:val="17"/>
          <w:color w:val="auto"/>
        </w:rPr>
        <w:t>A default or breach occurs under any agreement between Borrower or any of its Subsidiaries and any creditor of</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or any of its Subsidiaries that signed a subordination, intercreditor, or other similar agreement with Collateral Agent or the Lenders, or any creditor that has signed such an agreement with Collateral Agent or the Lenders breaches any terms of such agreement;</w:t>
      </w:r>
    </w:p>
    <w:p>
      <w:pPr>
        <w:spacing w:after="0" w:line="50"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b w:val="1"/>
          <w:bCs w:val="1"/>
          <w:color w:val="auto"/>
        </w:rPr>
        <w:t xml:space="preserve">8.10 Guaranty. </w:t>
      </w:r>
      <w:r>
        <w:rPr>
          <w:rFonts w:ascii="Arial" w:cs="Arial" w:eastAsia="Arial" w:hAnsi="Arial"/>
          <w:sz w:val="18"/>
          <w:szCs w:val="18"/>
          <w:color w:val="auto"/>
        </w:rPr>
        <w:t>(a) Any Guaranty terminates or ceases for any reason to be in full force and effect; (b) any Guarantor does not perform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or covenant under any Guaranty; (c) any circumstance described in Sections 8.3, 8.4, 8.5, 8.7, or 8.8 occurs with respect to any Guarantor, or (d) the liquidation, winding up, or termination of existence of any Guarantor;</w:t>
      </w:r>
    </w:p>
    <w:p>
      <w:pPr>
        <w:spacing w:after="0" w:line="68" w:lineRule="exact"/>
        <w:rPr>
          <w:sz w:val="20"/>
          <w:szCs w:val="20"/>
          <w:color w:val="auto"/>
        </w:rPr>
      </w:pPr>
    </w:p>
    <w:p>
      <w:pPr>
        <w:ind w:left="4" w:right="60" w:firstLine="440"/>
        <w:spacing w:after="0" w:line="266" w:lineRule="auto"/>
        <w:rPr>
          <w:sz w:val="20"/>
          <w:szCs w:val="20"/>
          <w:color w:val="auto"/>
        </w:rPr>
      </w:pPr>
      <w:r>
        <w:rPr>
          <w:rFonts w:ascii="Arial" w:cs="Arial" w:eastAsia="Arial" w:hAnsi="Arial"/>
          <w:sz w:val="18"/>
          <w:szCs w:val="18"/>
          <w:b w:val="1"/>
          <w:bCs w:val="1"/>
          <w:color w:val="auto"/>
        </w:rPr>
        <w:t xml:space="preserve">8.11 Governmental Approvals. </w:t>
      </w:r>
      <w:r>
        <w:rPr>
          <w:rFonts w:ascii="Arial" w:cs="Arial" w:eastAsia="Arial" w:hAnsi="Arial"/>
          <w:sz w:val="18"/>
          <w:szCs w:val="18"/>
          <w:color w:val="auto"/>
        </w:rPr>
        <w:t>Any Governmental Approval shall have been revoked, rescinded, suspended, modified in an adverse manner,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 renewed in the ordinary course for a full term </w:t>
      </w:r>
      <w:r>
        <w:rPr>
          <w:rFonts w:ascii="Arial" w:cs="Arial" w:eastAsia="Arial" w:hAnsi="Arial"/>
          <w:sz w:val="18"/>
          <w:szCs w:val="18"/>
          <w:i w:val="1"/>
          <w:iCs w:val="1"/>
          <w:color w:val="auto"/>
        </w:rPr>
        <w:t>and</w:t>
      </w:r>
      <w:r>
        <w:rPr>
          <w:rFonts w:ascii="Arial" w:cs="Arial" w:eastAsia="Arial" w:hAnsi="Arial"/>
          <w:sz w:val="18"/>
          <w:szCs w:val="18"/>
          <w:color w:val="auto"/>
        </w:rPr>
        <w:t xml:space="preserve"> such revocation, rescission, suspension, modification or non-renewal has resulted in or could reasonably be expected to result in a Material Adverse Change; or</w:t>
      </w:r>
    </w:p>
    <w:p>
      <w:pPr>
        <w:spacing w:after="0" w:line="68" w:lineRule="exact"/>
        <w:rPr>
          <w:sz w:val="20"/>
          <w:szCs w:val="20"/>
          <w:color w:val="auto"/>
        </w:rPr>
      </w:pPr>
    </w:p>
    <w:p>
      <w:pPr>
        <w:ind w:left="4" w:right="100" w:firstLine="440"/>
        <w:spacing w:after="0" w:line="281" w:lineRule="auto"/>
        <w:rPr>
          <w:sz w:val="20"/>
          <w:szCs w:val="20"/>
          <w:color w:val="auto"/>
        </w:rPr>
      </w:pPr>
      <w:r>
        <w:rPr>
          <w:rFonts w:ascii="Arial" w:cs="Arial" w:eastAsia="Arial" w:hAnsi="Arial"/>
          <w:sz w:val="17"/>
          <w:szCs w:val="17"/>
          <w:b w:val="1"/>
          <w:bCs w:val="1"/>
          <w:color w:val="auto"/>
        </w:rPr>
        <w:t>8.12 Lien Priority</w:t>
      </w:r>
      <w:r>
        <w:rPr>
          <w:rFonts w:ascii="Arial" w:cs="Arial" w:eastAsia="Arial" w:hAnsi="Arial"/>
          <w:sz w:val="17"/>
          <w:szCs w:val="17"/>
          <w:color w:val="auto"/>
        </w:rPr>
        <w:t>. Any Lien created hereunder or by any other Loan Document shall at any time fail to constitute a valid and perfected Lien on</w:t>
      </w:r>
      <w:r>
        <w:rPr>
          <w:rFonts w:ascii="Arial" w:cs="Arial" w:eastAsia="Arial" w:hAnsi="Arial"/>
          <w:sz w:val="17"/>
          <w:szCs w:val="17"/>
          <w:b w:val="1"/>
          <w:bCs w:val="1"/>
          <w:color w:val="auto"/>
        </w:rPr>
        <w:t xml:space="preserve"> </w:t>
      </w:r>
      <w:r>
        <w:rPr>
          <w:rFonts w:ascii="Arial" w:cs="Arial" w:eastAsia="Arial" w:hAnsi="Arial"/>
          <w:sz w:val="17"/>
          <w:szCs w:val="17"/>
          <w:color w:val="auto"/>
        </w:rPr>
        <w:t>any of the Collateral purported to be secured thereby, subject to no prior or equal Lien, other than Permitted Liens which are permitted to have priority in accordance with the terms of this Agreement; provided that such circumstance is not due to Collateral Agent’s failure to file an appropriate continuation financing statement, amendment financing statement or initial financing statement.</w:t>
      </w:r>
    </w:p>
    <w:p>
      <w:pPr>
        <w:spacing w:after="0" w:line="10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4"/>
          </w:cols>
          <w:pgMar w:left="436" w:top="274" w:right="519" w:bottom="1440" w:gutter="0" w:footer="0" w:header="0"/>
        </w:sectPr>
      </w:pPr>
    </w:p>
    <w:bookmarkStart w:id="31" w:name="page32"/>
    <w:bookmarkEnd w:id="31"/>
    <w:p>
      <w:pPr>
        <w:ind w:left="4" w:right="6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8.13 Delisting</w:t>
      </w:r>
      <w:r>
        <w:rPr>
          <w:rFonts w:ascii="Arial" w:cs="Arial" w:eastAsia="Arial" w:hAnsi="Arial"/>
          <w:sz w:val="18"/>
          <w:szCs w:val="18"/>
          <w:color w:val="auto"/>
        </w:rPr>
        <w:t>. The shares of common stock of Borrower are delisted from NASDAQ Capital Market because of failure to comply with 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listing standards thereof or due to a voluntary delisting which results in such shares not being listed on any other nationally recognized stock exchange in the United States having listing standards at least as restrictive as the NASDAQ Capital Market.</w:t>
      </w:r>
    </w:p>
    <w:p>
      <w:pPr>
        <w:spacing w:after="0" w:line="176" w:lineRule="exact"/>
        <w:rPr>
          <w:sz w:val="20"/>
          <w:szCs w:val="20"/>
          <w:color w:val="auto"/>
        </w:rPr>
      </w:pPr>
    </w:p>
    <w:p>
      <w:pPr>
        <w:jc w:val="right"/>
        <w:ind w:left="444" w:right="8640" w:hanging="444"/>
        <w:spacing w:after="0" w:line="425" w:lineRule="auto"/>
        <w:tabs>
          <w:tab w:leader="none" w:pos="184"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RIGHTS AND REMEDIES </w:t>
      </w:r>
      <w:r>
        <w:rPr>
          <w:rFonts w:ascii="Arial" w:cs="Arial" w:eastAsia="Arial" w:hAnsi="Arial"/>
          <w:sz w:val="16"/>
          <w:szCs w:val="16"/>
          <w:b w:val="1"/>
          <w:bCs w:val="1"/>
          <w:color w:val="auto"/>
        </w:rPr>
        <w:t>9.1 Rights and Remedies</w:t>
      </w:r>
      <w:r>
        <w:rPr>
          <w:rFonts w:ascii="Arial" w:cs="Arial" w:eastAsia="Arial" w:hAnsi="Arial"/>
          <w:sz w:val="16"/>
          <w:szCs w:val="16"/>
          <w:color w:val="auto"/>
        </w:rPr>
        <w:t>.</w:t>
      </w:r>
    </w:p>
    <w:p>
      <w:pPr>
        <w:ind w:left="4" w:right="40" w:firstLine="987"/>
        <w:spacing w:after="0" w:line="271" w:lineRule="auto"/>
        <w:tabs>
          <w:tab w:leader="none" w:pos="12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Upon the occurrence and during the continuance of an Event of Default, Collateral Agent may, and at the written direction of Required Lenders shall, without notice or demand, do any or all of the following: (i) 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spacing w:after="0" w:line="70" w:lineRule="exact"/>
        <w:rPr>
          <w:rFonts w:ascii="Arial" w:cs="Arial" w:eastAsia="Arial" w:hAnsi="Arial"/>
          <w:sz w:val="17"/>
          <w:szCs w:val="17"/>
          <w:color w:val="auto"/>
        </w:rPr>
      </w:pPr>
    </w:p>
    <w:p>
      <w:pPr>
        <w:ind w:left="4" w:right="240" w:firstLine="987"/>
        <w:spacing w:after="0" w:line="308" w:lineRule="auto"/>
        <w:tabs>
          <w:tab w:leader="none" w:pos="1250" w:val="left"/>
        </w:tabs>
        <w:numPr>
          <w:ilvl w:val="1"/>
          <w:numId w:val="51"/>
        </w:numPr>
        <w:rPr>
          <w:rFonts w:ascii="Arial" w:cs="Arial" w:eastAsia="Arial" w:hAnsi="Arial"/>
          <w:sz w:val="17"/>
          <w:szCs w:val="17"/>
          <w:color w:val="auto"/>
        </w:rPr>
      </w:pPr>
      <w:r>
        <w:rPr>
          <w:rFonts w:ascii="Arial" w:cs="Arial" w:eastAsia="Arial" w:hAnsi="Arial"/>
          <w:sz w:val="17"/>
          <w:szCs w:val="17"/>
          <w:color w:val="auto"/>
        </w:rPr>
        <w:t>Without limiting the rights of Collateral Agent and the Lenders set forth in Section 9.1(a) above, upon the occurrence and during the continuance of an Event of Default, Collateral Agent shall have the right, without notice or demand, to do any or all of the following:</w:t>
      </w:r>
    </w:p>
    <w:p>
      <w:pPr>
        <w:spacing w:after="0" w:line="38" w:lineRule="exact"/>
        <w:rPr>
          <w:rFonts w:ascii="Arial" w:cs="Arial" w:eastAsia="Arial" w:hAnsi="Arial"/>
          <w:sz w:val="17"/>
          <w:szCs w:val="17"/>
          <w:color w:val="auto"/>
        </w:rPr>
      </w:pPr>
    </w:p>
    <w:p>
      <w:pPr>
        <w:ind w:left="1644" w:hanging="212"/>
        <w:spacing w:after="0"/>
        <w:tabs>
          <w:tab w:leader="none" w:pos="1644" w:val="left"/>
        </w:tabs>
        <w:numPr>
          <w:ilvl w:val="2"/>
          <w:numId w:val="51"/>
        </w:numPr>
        <w:rPr>
          <w:rFonts w:ascii="Arial" w:cs="Arial" w:eastAsia="Arial" w:hAnsi="Arial"/>
          <w:sz w:val="18"/>
          <w:szCs w:val="18"/>
          <w:color w:val="auto"/>
        </w:rPr>
      </w:pPr>
      <w:r>
        <w:rPr>
          <w:rFonts w:ascii="Arial" w:cs="Arial" w:eastAsia="Arial" w:hAnsi="Arial"/>
          <w:sz w:val="18"/>
          <w:szCs w:val="18"/>
          <w:color w:val="auto"/>
        </w:rPr>
        <w:t>foreclose upon and/or sell or otherwise liquidate, the Collateral;</w:t>
      </w:r>
    </w:p>
    <w:p>
      <w:pPr>
        <w:spacing w:after="0" w:line="117" w:lineRule="exact"/>
        <w:rPr>
          <w:rFonts w:ascii="Arial" w:cs="Arial" w:eastAsia="Arial" w:hAnsi="Arial"/>
          <w:sz w:val="18"/>
          <w:szCs w:val="18"/>
          <w:color w:val="auto"/>
        </w:rPr>
      </w:pPr>
    </w:p>
    <w:p>
      <w:pPr>
        <w:ind w:left="1704" w:hanging="272"/>
        <w:spacing w:after="0"/>
        <w:tabs>
          <w:tab w:leader="none" w:pos="1704" w:val="left"/>
        </w:tabs>
        <w:numPr>
          <w:ilvl w:val="2"/>
          <w:numId w:val="51"/>
        </w:numPr>
        <w:rPr>
          <w:rFonts w:ascii="Arial" w:cs="Arial" w:eastAsia="Arial" w:hAnsi="Arial"/>
          <w:sz w:val="17"/>
          <w:szCs w:val="17"/>
          <w:color w:val="auto"/>
        </w:rPr>
      </w:pPr>
      <w:r>
        <w:rPr>
          <w:rFonts w:ascii="Arial" w:cs="Arial" w:eastAsia="Arial" w:hAnsi="Arial"/>
          <w:sz w:val="17"/>
          <w:szCs w:val="17"/>
          <w:color w:val="auto"/>
        </w:rPr>
        <w:t>apply to the Obligations any (a) balances and deposits of Borrower that Collateral Agent or any Lender holds or controls, or</w:t>
      </w:r>
    </w:p>
    <w:p>
      <w:pPr>
        <w:spacing w:after="0" w:line="35" w:lineRule="exact"/>
        <w:rPr>
          <w:sz w:val="20"/>
          <w:szCs w:val="20"/>
          <w:color w:val="auto"/>
        </w:rPr>
      </w:pPr>
    </w:p>
    <w:p>
      <w:pPr>
        <w:ind w:left="264" w:hanging="264"/>
        <w:spacing w:after="0"/>
        <w:tabs>
          <w:tab w:leader="none" w:pos="2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amount held or controlled by Collateral Agent or any Lender owing to or for the credit or the account of Borrower; and/or</w:t>
      </w:r>
    </w:p>
    <w:p>
      <w:pPr>
        <w:spacing w:after="0" w:line="102" w:lineRule="exact"/>
        <w:rPr>
          <w:rFonts w:ascii="Arial" w:cs="Arial" w:eastAsia="Arial" w:hAnsi="Arial"/>
          <w:sz w:val="18"/>
          <w:szCs w:val="18"/>
          <w:color w:val="auto"/>
        </w:rPr>
      </w:pPr>
    </w:p>
    <w:p>
      <w:pPr>
        <w:ind w:left="1744" w:hanging="312"/>
        <w:spacing w:after="0"/>
        <w:tabs>
          <w:tab w:leader="none" w:pos="1744" w:val="left"/>
        </w:tabs>
        <w:numPr>
          <w:ilvl w:val="2"/>
          <w:numId w:val="52"/>
        </w:numPr>
        <w:rPr>
          <w:rFonts w:ascii="Arial" w:cs="Arial" w:eastAsia="Arial" w:hAnsi="Arial"/>
          <w:sz w:val="17"/>
          <w:szCs w:val="17"/>
          <w:color w:val="auto"/>
        </w:rPr>
      </w:pPr>
      <w:r>
        <w:rPr>
          <w:rFonts w:ascii="Arial" w:cs="Arial" w:eastAsia="Arial" w:hAnsi="Arial"/>
          <w:sz w:val="17"/>
          <w:szCs w:val="17"/>
          <w:color w:val="auto"/>
        </w:rPr>
        <w:t>commence and prosecute an Insolvency Proceeding or consent to Borrower commencing any Insolvency Proceeding.</w:t>
      </w:r>
    </w:p>
    <w:p>
      <w:pPr>
        <w:spacing w:after="0" w:line="128" w:lineRule="exact"/>
        <w:rPr>
          <w:rFonts w:ascii="Arial" w:cs="Arial" w:eastAsia="Arial" w:hAnsi="Arial"/>
          <w:sz w:val="17"/>
          <w:szCs w:val="17"/>
          <w:color w:val="auto"/>
        </w:rPr>
      </w:pPr>
    </w:p>
    <w:p>
      <w:pPr>
        <w:ind w:left="4" w:right="400" w:firstLine="987"/>
        <w:spacing w:after="0" w:line="342" w:lineRule="auto"/>
        <w:tabs>
          <w:tab w:leader="none" w:pos="12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Without limiting the rights of Collateral Agent and the Lenders set forth in Sections 9.1(a) and (b) above, upon the occurrence and during the continuance of an Event of Default, Collateral Agent shall have the right, without notice or demand, to do any or all of the following:</w:t>
      </w:r>
    </w:p>
    <w:p>
      <w:pPr>
        <w:spacing w:after="0" w:line="15" w:lineRule="exact"/>
        <w:rPr>
          <w:rFonts w:ascii="Arial" w:cs="Arial" w:eastAsia="Arial" w:hAnsi="Arial"/>
          <w:sz w:val="16"/>
          <w:szCs w:val="16"/>
          <w:color w:val="auto"/>
        </w:rPr>
      </w:pPr>
    </w:p>
    <w:p>
      <w:pPr>
        <w:ind w:left="4" w:right="300" w:firstLine="1428"/>
        <w:spacing w:after="0" w:line="263" w:lineRule="auto"/>
        <w:tabs>
          <w:tab w:leader="none" w:pos="1651" w:val="left"/>
        </w:tabs>
        <w:numPr>
          <w:ilvl w:val="2"/>
          <w:numId w:val="53"/>
        </w:numPr>
        <w:rPr>
          <w:rFonts w:ascii="Arial" w:cs="Arial" w:eastAsia="Arial" w:hAnsi="Arial"/>
          <w:sz w:val="18"/>
          <w:szCs w:val="18"/>
          <w:color w:val="auto"/>
        </w:rPr>
      </w:pPr>
      <w:r>
        <w:rPr>
          <w:rFonts w:ascii="Arial" w:cs="Arial" w:eastAsia="Arial" w:hAnsi="Arial"/>
          <w:sz w:val="18"/>
          <w:szCs w:val="18"/>
          <w:color w:val="auto"/>
        </w:rPr>
        <w:t>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spacing w:after="0" w:line="76" w:lineRule="exact"/>
        <w:rPr>
          <w:sz w:val="20"/>
          <w:szCs w:val="20"/>
          <w:color w:val="auto"/>
        </w:rPr>
      </w:pPr>
    </w:p>
    <w:p>
      <w:pPr>
        <w:ind w:left="4" w:firstLine="1428"/>
        <w:spacing w:after="0" w:line="296" w:lineRule="auto"/>
        <w:tabs>
          <w:tab w:leader="none" w:pos="1701" w:val="left"/>
        </w:tabs>
        <w:numPr>
          <w:ilvl w:val="0"/>
          <w:numId w:val="54"/>
        </w:numPr>
        <w:rPr>
          <w:rFonts w:ascii="Arial" w:cs="Arial" w:eastAsia="Arial" w:hAnsi="Arial"/>
          <w:sz w:val="16"/>
          <w:szCs w:val="16"/>
          <w:color w:val="auto"/>
        </w:rPr>
      </w:pPr>
      <w:r>
        <w:rPr>
          <w:rFonts w:ascii="Arial" w:cs="Arial" w:eastAsia="Arial" w:hAnsi="Arial"/>
          <w:sz w:val="16"/>
          <w:szCs w:val="16"/>
          <w:color w:val="auto"/>
        </w:rPr>
        <w:t>make any payments and do any acts it considers necessary or reasonable to protect the Collateral and/or its security interest in the Collateral. Borrower shall assemble the Collateral if Collateral Agent requests and make it available in a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spacing w:after="0" w:line="53" w:lineRule="exact"/>
        <w:rPr>
          <w:rFonts w:ascii="Arial" w:cs="Arial" w:eastAsia="Arial" w:hAnsi="Arial"/>
          <w:sz w:val="16"/>
          <w:szCs w:val="16"/>
          <w:color w:val="auto"/>
        </w:rPr>
      </w:pPr>
    </w:p>
    <w:p>
      <w:pPr>
        <w:ind w:left="4" w:right="20" w:firstLine="1428"/>
        <w:spacing w:after="0" w:line="255" w:lineRule="auto"/>
        <w:tabs>
          <w:tab w:leader="none" w:pos="17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and/or advertise for sale, the Collateral. Collateral Agent is hereby granted a non-exclusive, royalty-free license or other right to use, without charge,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4"/>
          </w:cols>
          <w:pgMar w:left="436" w:top="270" w:right="439" w:bottom="1440" w:gutter="0" w:footer="0" w:header="0"/>
        </w:sectPr>
      </w:pPr>
    </w:p>
    <w:bookmarkStart w:id="32" w:name="page33"/>
    <w:bookmarkEnd w:id="32"/>
    <w:p>
      <w:pPr>
        <w:ind w:left="4" w:right="80" w:firstLine="1428"/>
        <w:spacing w:after="0" w:line="342" w:lineRule="auto"/>
        <w:tabs>
          <w:tab w:leader="none" w:pos="1741" w:val="left"/>
        </w:tabs>
        <w:numPr>
          <w:ilvl w:val="0"/>
          <w:numId w:val="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place a “hold” on any account maintained with Collateral Agent or the Lenders and/or deliver a notice of exclusive control, any entitlement order, or other directions or instructions pursuant to any Control Agreement or similar agreements providing control of any Collateral;</w:t>
      </w:r>
    </w:p>
    <w:p>
      <w:pPr>
        <w:spacing w:after="0" w:line="15" w:lineRule="exact"/>
        <w:rPr>
          <w:rFonts w:ascii="Arial" w:cs="Arial" w:eastAsia="Arial" w:hAnsi="Arial"/>
          <w:sz w:val="16"/>
          <w:szCs w:val="16"/>
          <w:color w:val="auto"/>
        </w:rPr>
      </w:pPr>
    </w:p>
    <w:p>
      <w:pPr>
        <w:ind w:left="1684" w:hanging="252"/>
        <w:spacing w:after="0"/>
        <w:tabs>
          <w:tab w:leader="none" w:pos="1684"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demand and receive possession of Borrower’s Books;</w:t>
      </w:r>
    </w:p>
    <w:p>
      <w:pPr>
        <w:spacing w:after="0" w:line="117" w:lineRule="exact"/>
        <w:rPr>
          <w:rFonts w:ascii="Arial" w:cs="Arial" w:eastAsia="Arial" w:hAnsi="Arial"/>
          <w:sz w:val="18"/>
          <w:szCs w:val="18"/>
          <w:color w:val="auto"/>
        </w:rPr>
      </w:pPr>
    </w:p>
    <w:p>
      <w:pPr>
        <w:jc w:val="both"/>
        <w:ind w:left="4" w:right="80" w:firstLine="1428"/>
        <w:spacing w:after="0" w:line="263" w:lineRule="auto"/>
        <w:tabs>
          <w:tab w:leader="none" w:pos="1741"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appoint a receiver to seize, manage and realize any of the Collateral, and such receiver shall have any right and authority as any competent court will grant or authorize in accordance with any applicable law, including any power or authority to manage the business of Borrower or any of its Subsidiaries;</w:t>
      </w:r>
    </w:p>
    <w:p>
      <w:pPr>
        <w:spacing w:after="0" w:line="75" w:lineRule="exact"/>
        <w:rPr>
          <w:rFonts w:ascii="Arial" w:cs="Arial" w:eastAsia="Arial" w:hAnsi="Arial"/>
          <w:sz w:val="18"/>
          <w:szCs w:val="18"/>
          <w:color w:val="auto"/>
        </w:rPr>
      </w:pPr>
    </w:p>
    <w:p>
      <w:pPr>
        <w:ind w:left="4" w:right="80" w:firstLine="1428"/>
        <w:spacing w:after="0" w:line="342" w:lineRule="auto"/>
        <w:tabs>
          <w:tab w:leader="none" w:pos="1791"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spacing w:after="0" w:line="15" w:lineRule="exact"/>
        <w:rPr>
          <w:rFonts w:ascii="Arial" w:cs="Arial" w:eastAsia="Arial" w:hAnsi="Arial"/>
          <w:sz w:val="16"/>
          <w:szCs w:val="16"/>
          <w:color w:val="auto"/>
        </w:rPr>
      </w:pPr>
    </w:p>
    <w:p>
      <w:pPr>
        <w:ind w:left="4" w:right="160" w:firstLine="1428"/>
        <w:spacing w:after="0" w:line="254" w:lineRule="auto"/>
        <w:tabs>
          <w:tab w:leader="none" w:pos="1841"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any Letters of Credit, demand that Borrower (i) deposit cash with Bank in an amount equal to (x) if such Letters of Credit are denominated in Dollars, then one hundred three percent (103%); and (y) if such Letters of Credit are denominated in a Foreign Currency, then one hundred five percent (105%), of the Dollar Equivalent of the aggregate face amount of all Letters of Credit remaining undrawn (plus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 and</w:t>
      </w:r>
    </w:p>
    <w:p>
      <w:pPr>
        <w:spacing w:after="0" w:line="86" w:lineRule="exact"/>
        <w:rPr>
          <w:rFonts w:ascii="Arial" w:cs="Arial" w:eastAsia="Arial" w:hAnsi="Arial"/>
          <w:sz w:val="18"/>
          <w:szCs w:val="18"/>
          <w:color w:val="auto"/>
        </w:rPr>
      </w:pPr>
    </w:p>
    <w:p>
      <w:pPr>
        <w:ind w:left="1744" w:hanging="312"/>
        <w:spacing w:after="0"/>
        <w:tabs>
          <w:tab w:leader="none" w:pos="17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terminate any FX Contracts.</w:t>
      </w:r>
    </w:p>
    <w:p>
      <w:pPr>
        <w:spacing w:after="0" w:line="113" w:lineRule="exact"/>
        <w:rPr>
          <w:sz w:val="20"/>
          <w:szCs w:val="20"/>
          <w:color w:val="auto"/>
        </w:rPr>
      </w:pPr>
    </w:p>
    <w:p>
      <w:pPr>
        <w:ind w:left="4" w:right="20" w:firstLine="440"/>
        <w:spacing w:after="0" w:line="289" w:lineRule="auto"/>
        <w:rPr>
          <w:sz w:val="20"/>
          <w:szCs w:val="20"/>
          <w:color w:val="auto"/>
        </w:rPr>
      </w:pPr>
      <w:r>
        <w:rPr>
          <w:rFonts w:ascii="Arial" w:cs="Arial" w:eastAsia="Arial" w:hAnsi="Arial"/>
          <w:sz w:val="16"/>
          <w:szCs w:val="16"/>
          <w:b w:val="1"/>
          <w:bCs w:val="1"/>
          <w:color w:val="auto"/>
        </w:rPr>
        <w:t xml:space="preserve">9.2 Power of Attorney. </w:t>
      </w:r>
      <w:r>
        <w:rPr>
          <w:rFonts w:ascii="Arial" w:cs="Arial" w:eastAsia="Arial" w:hAnsi="Arial"/>
          <w:sz w:val="16"/>
          <w:szCs w:val="16"/>
          <w:color w:val="auto"/>
        </w:rPr>
        <w:t>Borrower hereby irrevocably appoints Collateral Agent as its lawful attorney-in-fact, exercisable upon the occurrence and</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w:t>
      </w:r>
    </w:p>
    <w:p>
      <w:pPr>
        <w:spacing w:after="0" w:line="2" w:lineRule="exact"/>
        <w:rPr>
          <w:sz w:val="20"/>
          <w:szCs w:val="20"/>
          <w:color w:val="auto"/>
        </w:rPr>
      </w:pPr>
    </w:p>
    <w:p>
      <w:pPr>
        <w:ind w:left="4" w:right="40" w:hanging="4"/>
        <w:spacing w:after="0" w:line="281" w:lineRule="auto"/>
        <w:tabs>
          <w:tab w:leader="none" w:pos="249" w:val="left"/>
        </w:tabs>
        <w:numPr>
          <w:ilvl w:val="0"/>
          <w:numId w:val="56"/>
        </w:numPr>
        <w:rPr>
          <w:rFonts w:ascii="Arial" w:cs="Arial" w:eastAsia="Arial" w:hAnsi="Arial"/>
          <w:sz w:val="16"/>
          <w:szCs w:val="16"/>
          <w:color w:val="auto"/>
        </w:rPr>
      </w:pPr>
      <w:r>
        <w:rPr>
          <w:rFonts w:ascii="Arial" w:cs="Arial" w:eastAsia="Arial" w:hAnsi="Arial"/>
          <w:sz w:val="16"/>
          <w:szCs w:val="16"/>
          <w:color w:val="auto"/>
        </w:rPr>
        <w:t>settle and adjust disputes and claims about the Accounts directly with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w:t>
      </w:r>
    </w:p>
    <w:p>
      <w:pPr>
        <w:spacing w:after="0" w:line="1" w:lineRule="exact"/>
        <w:rPr>
          <w:rFonts w:ascii="Arial" w:cs="Arial" w:eastAsia="Arial" w:hAnsi="Arial"/>
          <w:sz w:val="16"/>
          <w:szCs w:val="16"/>
          <w:color w:val="auto"/>
        </w:rPr>
      </w:pPr>
    </w:p>
    <w:p>
      <w:pPr>
        <w:ind w:left="4" w:hanging="4"/>
        <w:spacing w:after="0" w:line="269" w:lineRule="auto"/>
        <w:tabs>
          <w:tab w:leader="none" w:pos="229" w:val="left"/>
        </w:tabs>
        <w:numPr>
          <w:ilvl w:val="0"/>
          <w:numId w:val="57"/>
        </w:numPr>
        <w:rPr>
          <w:rFonts w:ascii="Arial" w:cs="Arial" w:eastAsia="Arial" w:hAnsi="Arial"/>
          <w:sz w:val="17"/>
          <w:szCs w:val="17"/>
          <w:color w:val="auto"/>
        </w:rPr>
      </w:pPr>
      <w:r>
        <w:rPr>
          <w:rFonts w:ascii="Arial" w:cs="Arial" w:eastAsia="Arial" w:hAnsi="Arial"/>
          <w:sz w:val="17"/>
          <w:szCs w:val="17"/>
          <w:color w:val="auto"/>
        </w:rPr>
        <w:t>transfer the Collateral into the name of Collateral Agent or a third party as the Code or any applicable law permits. Borrower hereby appoints Collateral Agent as its lawful attorney-in-fact to sign Borrower’s or any of its Subsidiaries’ name on any documents necessary to perfect or continue the perfection of Collateral Agent’s security interest in the Collateral regardless of whether an Event of Default has occurred until all Obligations (other than inchoate indemnity obligations) have been satisfied in full and Collateral Agent and the Lenders are under no further obligation to make Credit Extensions hereunder . Collateral Agent’s foregoing appointment as Borrower’s or any of its Subsidiaries’ attorney in fact, and all of Collateral Agent’s rights and powers, coupled with an interest, are irrevocable until all Obligations (other than inchoate indemnity obligations) have been fully repaid and performed and Collateral Agent’s and the Lenders’ obligation to provide Credit Extensions terminates.</w:t>
      </w:r>
    </w:p>
    <w:p>
      <w:pPr>
        <w:spacing w:after="0" w:line="68"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b w:val="1"/>
          <w:bCs w:val="1"/>
          <w:color w:val="auto"/>
        </w:rPr>
        <w:t xml:space="preserve">9.3 Protective Payments. </w:t>
      </w:r>
      <w:r>
        <w:rPr>
          <w:rFonts w:ascii="Arial" w:cs="Arial" w:eastAsia="Arial" w:hAnsi="Arial"/>
          <w:sz w:val="18"/>
          <w:szCs w:val="18"/>
          <w:color w:val="auto"/>
        </w:rPr>
        <w:t>If Borrower or any of its Subsidiaries fail to obtain the insurance called for by Section 6.5 or fails to pay any premium</w:t>
      </w:r>
      <w:r>
        <w:rPr>
          <w:rFonts w:ascii="Arial" w:cs="Arial" w:eastAsia="Arial" w:hAnsi="Arial"/>
          <w:sz w:val="18"/>
          <w:szCs w:val="18"/>
          <w:b w:val="1"/>
          <w:bCs w:val="1"/>
          <w:color w:val="auto"/>
        </w:rPr>
        <w:t xml:space="preserve"> </w:t>
      </w:r>
      <w:r>
        <w:rPr>
          <w:rFonts w:ascii="Arial" w:cs="Arial" w:eastAsia="Arial" w:hAnsi="Arial"/>
          <w:sz w:val="18"/>
          <w:szCs w:val="18"/>
          <w:color w:val="auto"/>
        </w:rPr>
        <w:t>thereon or fails to 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33" w:name="page34"/>
    <w:bookmarkEnd w:id="33"/>
    <w:p>
      <w:pPr>
        <w:ind w:firstLine="440"/>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9.4 Application of Payments and Proceeds. </w:t>
      </w:r>
      <w:r>
        <w:rPr>
          <w:rFonts w:ascii="Arial" w:cs="Arial" w:eastAsia="Arial" w:hAnsi="Arial"/>
          <w:sz w:val="16"/>
          <w:szCs w:val="16"/>
          <w:color w:val="auto"/>
        </w:rPr>
        <w:t>Notwithstanding anything to the contrary contained in this Agreement, upon the occurrence and</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indebtedness or obligations of Borrower owing to Collateral Agent or any Lender under the Loan Documents. Any balance remaining shall be delivered to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Pro Rata Share unless expressly provided otherwise. Collateral Agent, or if applicable, each Lender, shall promptly remit to the other Lenders such sums as may be necessary to ensure the ratable repayment of each Lender’s portion of any Term Loan and the ratable distribution of interest, fees and reimbursements paid or made by Borrower. Notwithstanding the foregoing, a Lender receiving a scheduled payment shall not be responsible for determining whether the other Lenders also received their scheduled payment on such date; provided, however, if it is later determined that a Lender received more than its ratable share of scheduled payments made on any date or dates, then such Lender shall remit to Collateral Agent or other Lenders such sums as may be necessary to ensure the ratable payment of such scheduled payments, as instructed by Collateral Agent. If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Collateral Agent and other Lenders for purposes of perfecting Collateral Agent’s security interest therein.</w:t>
      </w:r>
    </w:p>
    <w:p>
      <w:pPr>
        <w:spacing w:after="0" w:line="281" w:lineRule="exact"/>
        <w:rPr>
          <w:sz w:val="20"/>
          <w:szCs w:val="20"/>
          <w:color w:val="auto"/>
        </w:rPr>
      </w:pPr>
    </w:p>
    <w:p>
      <w:pPr>
        <w:ind w:right="100" w:firstLine="440"/>
        <w:spacing w:after="0" w:line="303" w:lineRule="auto"/>
        <w:rPr>
          <w:sz w:val="20"/>
          <w:szCs w:val="20"/>
          <w:color w:val="auto"/>
        </w:rPr>
      </w:pPr>
      <w:r>
        <w:rPr>
          <w:rFonts w:ascii="Arial" w:cs="Arial" w:eastAsia="Arial" w:hAnsi="Arial"/>
          <w:sz w:val="16"/>
          <w:szCs w:val="16"/>
          <w:b w:val="1"/>
          <w:bCs w:val="1"/>
          <w:color w:val="auto"/>
        </w:rPr>
        <w:t xml:space="preserve">9.5 Liability for Collateral. </w:t>
      </w:r>
      <w:r>
        <w:rPr>
          <w:rFonts w:ascii="Arial" w:cs="Arial" w:eastAsia="Arial" w:hAnsi="Arial"/>
          <w:sz w:val="16"/>
          <w:szCs w:val="16"/>
          <w:color w:val="auto"/>
        </w:rPr>
        <w:t>So long as Collateral Agent and the Lenders comply with reasonable banking practices regarding the safekeeping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Collateral in the possession or under the control of Collateral Agent and the Lenders, Collateral Agent and the Lenders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43"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b w:val="1"/>
          <w:bCs w:val="1"/>
          <w:color w:val="auto"/>
        </w:rPr>
        <w:t xml:space="preserve">9.6 No Waiver; Remedies Cumulative. </w:t>
      </w:r>
      <w:r>
        <w:rPr>
          <w:rFonts w:ascii="Arial" w:cs="Arial" w:eastAsia="Arial" w:hAnsi="Arial"/>
          <w:sz w:val="17"/>
          <w:szCs w:val="17"/>
          <w:color w:val="auto"/>
        </w:rPr>
        <w:t>Failure by Collateral Agent or any Lender, at any time or times, to require strict performance by</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of any provision of this Agreement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spacing w:after="0" w:line="64" w:lineRule="exact"/>
        <w:rPr>
          <w:sz w:val="20"/>
          <w:szCs w:val="20"/>
          <w:color w:val="auto"/>
        </w:rPr>
      </w:pPr>
    </w:p>
    <w:p>
      <w:pPr>
        <w:ind w:firstLine="440"/>
        <w:spacing w:after="0" w:line="289" w:lineRule="auto"/>
        <w:rPr>
          <w:sz w:val="20"/>
          <w:szCs w:val="20"/>
          <w:color w:val="auto"/>
        </w:rPr>
      </w:pPr>
      <w:r>
        <w:rPr>
          <w:rFonts w:ascii="Arial" w:cs="Arial" w:eastAsia="Arial" w:hAnsi="Arial"/>
          <w:sz w:val="17"/>
          <w:szCs w:val="17"/>
          <w:b w:val="1"/>
          <w:bCs w:val="1"/>
          <w:color w:val="auto"/>
        </w:rPr>
        <w:t xml:space="preserve">9.7 Demand Waiver. </w:t>
      </w:r>
      <w:r>
        <w:rPr>
          <w:rFonts w:ascii="Arial" w:cs="Arial" w:eastAsia="Arial" w:hAnsi="Arial"/>
          <w:sz w:val="17"/>
          <w:szCs w:val="17"/>
          <w:color w:val="auto"/>
        </w:rPr>
        <w:t>Borrower waives, to the fullest extent permitted by law, demand, notice of default or dishonor, notice of payment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nonpayment, notice of any default, nonpayment at maturity, release, compromise, settlement, extension, or renewal of accounts, documents, instruments, chattel paper, and guarantees held by Collateral Agent or any Lender on which Borrower or any Subsidiary is liable.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34" w:name="page35"/>
    <w:bookmarkEnd w:id="34"/>
    <w:p>
      <w:pPr>
        <w:ind w:left="424" w:hanging="424"/>
        <w:spacing w:after="0"/>
        <w:tabs>
          <w:tab w:leader="none" w:pos="424"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NOTICES</w:t>
      </w:r>
    </w:p>
    <w:p>
      <w:pPr>
        <w:spacing w:after="0" w:line="117" w:lineRule="exact"/>
        <w:rPr>
          <w:sz w:val="20"/>
          <w:szCs w:val="20"/>
          <w:color w:val="auto"/>
        </w:rPr>
      </w:pPr>
    </w:p>
    <w:p>
      <w:pPr>
        <w:jc w:val="both"/>
        <w:ind w:left="4" w:right="80" w:firstLine="440"/>
        <w:spacing w:after="0" w:line="289" w:lineRule="auto"/>
        <w:rPr>
          <w:sz w:val="20"/>
          <w:szCs w:val="20"/>
          <w:color w:val="auto"/>
        </w:rPr>
      </w:pPr>
      <w:r>
        <w:rPr>
          <w:rFonts w:ascii="Arial" w:cs="Arial" w:eastAsia="Arial" w:hAnsi="Arial"/>
          <w:sz w:val="16"/>
          <w:szCs w:val="16"/>
          <w:color w:val="auto"/>
        </w:rPr>
        <w:t>All notices, consents, requests, approvals, demands, or other communication (collectively, “</w:t>
      </w:r>
      <w:r>
        <w:rPr>
          <w:rFonts w:ascii="Arial" w:cs="Arial" w:eastAsia="Arial" w:hAnsi="Arial"/>
          <w:sz w:val="16"/>
          <w:szCs w:val="16"/>
          <w:b w:val="1"/>
          <w:bCs w:val="1"/>
          <w:color w:val="auto"/>
        </w:rPr>
        <w:t>Communication</w:t>
      </w:r>
      <w:r>
        <w:rPr>
          <w:rFonts w:ascii="Arial" w:cs="Arial" w:eastAsia="Arial" w:hAnsi="Arial"/>
          <w:sz w:val="16"/>
          <w:szCs w:val="16"/>
          <w:color w:val="auto"/>
        </w:rPr>
        <w:t>”)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w:t>
      </w:r>
    </w:p>
    <w:p>
      <w:pPr>
        <w:spacing w:after="0" w:line="2" w:lineRule="exact"/>
        <w:rPr>
          <w:sz w:val="20"/>
          <w:szCs w:val="20"/>
          <w:color w:val="auto"/>
        </w:rPr>
      </w:pPr>
    </w:p>
    <w:p>
      <w:pPr>
        <w:ind w:left="4" w:hanging="4"/>
        <w:spacing w:after="0" w:line="273" w:lineRule="auto"/>
        <w:tabs>
          <w:tab w:leader="none" w:pos="259" w:val="left"/>
        </w:tabs>
        <w:numPr>
          <w:ilvl w:val="0"/>
          <w:numId w:val="59"/>
        </w:numPr>
        <w:rPr>
          <w:rFonts w:ascii="Arial" w:cs="Arial" w:eastAsia="Arial" w:hAnsi="Arial"/>
          <w:sz w:val="17"/>
          <w:szCs w:val="17"/>
          <w:color w:val="auto"/>
        </w:rPr>
      </w:pPr>
      <w:r>
        <w:rPr>
          <w:rFonts w:ascii="Arial" w:cs="Arial" w:eastAsia="Arial" w:hAnsi="Arial"/>
          <w:sz w:val="17"/>
          <w:szCs w:val="17"/>
          <w:color w:val="auto"/>
        </w:rPr>
        <w:t>upon transmission, when sent by facsimile transmission or electronic mail;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Any of Collateral Agent, Lender or Borrower may change its mailing address or facsimile number by giving the other party written notice thereof in accordance with the terms of this Section 10.</w:t>
      </w:r>
    </w:p>
    <w:p>
      <w:pPr>
        <w:sectPr>
          <w:pgSz w:w="11900" w:h="16838" w:orient="portrait"/>
          <w:cols w:equalWidth="0" w:num="1">
            <w:col w:w="10984"/>
          </w:cols>
          <w:pgMar w:left="436" w:top="270" w:right="479" w:bottom="1440" w:gutter="0" w:footer="0" w:header="0"/>
        </w:sectPr>
      </w:pPr>
    </w:p>
    <w:p>
      <w:pPr>
        <w:spacing w:after="0" w:line="203" w:lineRule="exact"/>
        <w:rPr>
          <w:sz w:val="20"/>
          <w:szCs w:val="20"/>
          <w:color w:val="auto"/>
        </w:rPr>
      </w:pPr>
    </w:p>
    <w:p>
      <w:pPr>
        <w:jc w:val="center"/>
        <w:ind w:left="644"/>
        <w:spacing w:after="0"/>
        <w:rPr>
          <w:sz w:val="20"/>
          <w:szCs w:val="20"/>
          <w:color w:val="auto"/>
        </w:rPr>
      </w:pPr>
      <w:r>
        <w:rPr>
          <w:rFonts w:ascii="Arial" w:cs="Arial" w:eastAsia="Arial" w:hAnsi="Arial"/>
          <w:sz w:val="17"/>
          <w:szCs w:val="17"/>
          <w:color w:val="auto"/>
        </w:rPr>
        <w:t>If to Borrower: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89BIO,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142 Sansome Street, 2nd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Ryan Martins, CFO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ryan.martins@89bio.com</w:t>
      </w:r>
    </w:p>
    <w:p>
      <w:pPr>
        <w:spacing w:after="0" w:line="139" w:lineRule="exact"/>
        <w:rPr>
          <w:sz w:val="20"/>
          <w:szCs w:val="20"/>
          <w:color w:val="auto"/>
        </w:rPr>
      </w:pPr>
    </w:p>
    <w:p>
      <w:pPr>
        <w:sectPr>
          <w:pgSz w:w="11900" w:h="16838" w:orient="portrait"/>
          <w:cols w:equalWidth="0" w:num="2">
            <w:col w:w="2664" w:space="720"/>
            <w:col w:w="7600"/>
          </w:cols>
          <w:pgMar w:left="436" w:top="270" w:right="479" w:bottom="1440" w:gutter="0" w:footer="0" w:header="0"/>
          <w:type w:val="continuous"/>
        </w:sectPr>
      </w:pPr>
    </w:p>
    <w:p>
      <w:pPr>
        <w:jc w:val="both"/>
        <w:ind w:left="1104"/>
        <w:spacing w:after="0" w:line="342" w:lineRule="auto"/>
        <w:rPr>
          <w:sz w:val="20"/>
          <w:szCs w:val="20"/>
          <w:color w:val="auto"/>
        </w:rPr>
      </w:pPr>
      <w:r>
        <w:rPr>
          <w:rFonts w:ascii="Arial" w:cs="Arial" w:eastAsia="Arial" w:hAnsi="Arial"/>
          <w:sz w:val="16"/>
          <w:szCs w:val="16"/>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GIBSON, DUNN &amp; CRUTCHER LLP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555 Mission Street, Suite 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Ryan Murr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(415) 393-8373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rmurr@gibsondunn.com</w:t>
      </w:r>
    </w:p>
    <w:p>
      <w:pPr>
        <w:spacing w:after="0" w:line="116" w:lineRule="exact"/>
        <w:rPr>
          <w:sz w:val="20"/>
          <w:szCs w:val="20"/>
          <w:color w:val="auto"/>
        </w:rPr>
      </w:pPr>
    </w:p>
    <w:p>
      <w:pPr>
        <w:sectPr>
          <w:pgSz w:w="11900" w:h="16838" w:orient="portrait"/>
          <w:cols w:equalWidth="0" w:num="2">
            <w:col w:w="2884" w:space="500"/>
            <w:col w:w="7600"/>
          </w:cols>
          <w:pgMar w:left="436" w:top="270" w:right="479" w:bottom="1440" w:gutter="0" w:footer="0" w:header="0"/>
          <w:type w:val="continuous"/>
        </w:sectPr>
      </w:pPr>
    </w:p>
    <w:p>
      <w:pPr>
        <w:ind w:left="1104"/>
        <w:spacing w:after="0"/>
        <w:rPr>
          <w:sz w:val="20"/>
          <w:szCs w:val="20"/>
          <w:color w:val="auto"/>
        </w:rPr>
      </w:pPr>
      <w:r>
        <w:rPr>
          <w:rFonts w:ascii="Arial" w:cs="Arial" w:eastAsia="Arial" w:hAnsi="Arial"/>
          <w:sz w:val="17"/>
          <w:szCs w:val="17"/>
          <w:color w:val="auto"/>
        </w:rPr>
        <w:t>If to Collateral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SILICON VALLEY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505 Howard St.,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 94105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Attention: Shawn Parry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sparry@svb.com</w:t>
      </w:r>
    </w:p>
    <w:p>
      <w:pPr>
        <w:spacing w:after="0" w:line="116" w:lineRule="exact"/>
        <w:rPr>
          <w:sz w:val="20"/>
          <w:szCs w:val="20"/>
          <w:color w:val="auto"/>
        </w:rPr>
      </w:pPr>
    </w:p>
    <w:p>
      <w:pPr>
        <w:sectPr>
          <w:pgSz w:w="11900" w:h="16838" w:orient="portrait"/>
          <w:cols w:equalWidth="0" w:num="2">
            <w:col w:w="2704" w:space="680"/>
            <w:col w:w="7600"/>
          </w:cols>
          <w:pgMar w:left="436" w:top="270" w:right="479" w:bottom="1440" w:gutter="0" w:footer="0" w:header="0"/>
          <w:type w:val="continuous"/>
        </w:sectPr>
      </w:pPr>
    </w:p>
    <w:p>
      <w:pPr>
        <w:jc w:val="both"/>
        <w:ind w:left="1104"/>
        <w:spacing w:after="0" w:line="342" w:lineRule="auto"/>
        <w:rPr>
          <w:sz w:val="20"/>
          <w:szCs w:val="20"/>
          <w:color w:val="auto"/>
        </w:rPr>
      </w:pPr>
      <w:r>
        <w:rPr>
          <w:rFonts w:ascii="Arial" w:cs="Arial" w:eastAsia="Arial" w:hAnsi="Arial"/>
          <w:sz w:val="16"/>
          <w:szCs w:val="16"/>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500 8th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Eric Eisenberg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(202) 799-5211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eric.eisenberg@dlapiper.com</w:t>
      </w:r>
    </w:p>
    <w:p>
      <w:pPr>
        <w:spacing w:after="0" w:line="200" w:lineRule="exact"/>
        <w:rPr>
          <w:sz w:val="20"/>
          <w:szCs w:val="20"/>
          <w:color w:val="auto"/>
        </w:rPr>
      </w:pPr>
    </w:p>
    <w:p>
      <w:pPr>
        <w:sectPr>
          <w:pgSz w:w="11900" w:h="16838" w:orient="portrait"/>
          <w:cols w:equalWidth="0" w:num="2">
            <w:col w:w="2884" w:space="500"/>
            <w:col w:w="7600"/>
          </w:cols>
          <w:pgMar w:left="436" w:top="270" w:right="479" w:bottom="1440" w:gutter="0" w:footer="0" w:header="0"/>
          <w:type w:val="continuous"/>
        </w:sectPr>
      </w:pPr>
    </w:p>
    <w:p>
      <w:pPr>
        <w:spacing w:after="0" w:line="70" w:lineRule="exact"/>
        <w:rPr>
          <w:sz w:val="20"/>
          <w:szCs w:val="20"/>
          <w:color w:val="auto"/>
        </w:rPr>
      </w:pPr>
    </w:p>
    <w:p>
      <w:pPr>
        <w:ind w:left="424" w:hanging="424"/>
        <w:spacing w:after="0"/>
        <w:tabs>
          <w:tab w:leader="none" w:pos="424"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AND JURY TRIAL WAIVER, AND JUDICIAL REFERENCE</w:t>
      </w:r>
    </w:p>
    <w:p>
      <w:pPr>
        <w:spacing w:after="0" w:line="121"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California law governs the Loan Documents without regard to principles of conflicts of law. Borrower, Collateral Agent and each Lender each submit to the exclusive jurisdiction of the State and Federal courts in Santa Clara County, California; provided, however, that nothing in this Agreement shall be deemed to operate to preclude Collateral Agent or any Lender from bringing suit or taking other legal action in any other jurisdiction to realize on the Collateral or any other security for the Obligations, or to enforce a judgment or other court order in favor of Collateral Agent or any Lender.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1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4"/>
          </w:cols>
          <w:pgMar w:left="436" w:top="270" w:right="479" w:bottom="1440" w:gutter="0" w:footer="0" w:header="0"/>
          <w:type w:val="continuous"/>
        </w:sectPr>
      </w:pPr>
    </w:p>
    <w:bookmarkStart w:id="35" w:name="page36"/>
    <w:bookmarkEnd w:id="35"/>
    <w:p>
      <w:pPr>
        <w:ind w:left="4" w:right="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FULLEST EXTENT PERMITTED BY APPLICABLE LAW, BORROWER, COLLATERAL AGENT AND EACH LENDER EACH WAIVE THEIR RIGHT TO A JURY TRIAL OF ANY CLAIM OR CAUSE OF ACTION ARISING OUT OF OR BASED UPON THIS AGREEMENT, THE LOAN DOCUMENTS OR ANY CONTEMPLATED TRANSACTION, INCLUDING CONTRACT, TORT, BREACH OF DUTY AND ALL OTHER CLAIMS. THIS WAIVER IS A MATERIAL INDUCEMENT FOR EACH PARTY TO ENTER INTO THIS AGREEMENT. EACH PARTY HAS REVIEWED THIS WAIVER WITH ITS COUNSEL.</w:t>
      </w:r>
    </w:p>
    <w:p>
      <w:pPr>
        <w:spacing w:after="0" w:line="187" w:lineRule="exact"/>
        <w:rPr>
          <w:sz w:val="20"/>
          <w:szCs w:val="20"/>
          <w:color w:val="auto"/>
        </w:rPr>
      </w:pPr>
    </w:p>
    <w:p>
      <w:pPr>
        <w:ind w:left="4"/>
        <w:spacing w:after="0" w:line="267" w:lineRule="auto"/>
        <w:rPr>
          <w:sz w:val="20"/>
          <w:szCs w:val="20"/>
          <w:color w:val="auto"/>
        </w:rPr>
      </w:pPr>
      <w:r>
        <w:rPr>
          <w:rFonts w:ascii="Arial" w:cs="Arial" w:eastAsia="Arial" w:hAnsi="Arial"/>
          <w:sz w:val="17"/>
          <w:szCs w:val="17"/>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211" w:lineRule="exact"/>
        <w:rPr>
          <w:sz w:val="20"/>
          <w:szCs w:val="20"/>
          <w:color w:val="auto"/>
        </w:rPr>
      </w:pPr>
    </w:p>
    <w:p>
      <w:pPr>
        <w:ind w:left="424" w:hanging="424"/>
        <w:spacing w:after="0"/>
        <w:tabs>
          <w:tab w:leader="none" w:pos="424"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117" w:lineRule="exact"/>
        <w:rPr>
          <w:sz w:val="20"/>
          <w:szCs w:val="20"/>
          <w:color w:val="auto"/>
        </w:rPr>
      </w:pPr>
    </w:p>
    <w:p>
      <w:pPr>
        <w:ind w:left="4" w:right="80" w:firstLine="440"/>
        <w:spacing w:after="0" w:line="283" w:lineRule="auto"/>
        <w:rPr>
          <w:sz w:val="20"/>
          <w:szCs w:val="20"/>
          <w:color w:val="auto"/>
        </w:rPr>
      </w:pPr>
      <w:r>
        <w:rPr>
          <w:rFonts w:ascii="Arial" w:cs="Arial" w:eastAsia="Arial" w:hAnsi="Arial"/>
          <w:sz w:val="16"/>
          <w:szCs w:val="16"/>
          <w:b w:val="1"/>
          <w:bCs w:val="1"/>
          <w:color w:val="auto"/>
        </w:rPr>
        <w:t xml:space="preserve">12.1 Successors and Assigns. </w:t>
      </w:r>
      <w:r>
        <w:rPr>
          <w:rFonts w:ascii="Arial" w:cs="Arial" w:eastAsia="Arial" w:hAnsi="Arial"/>
          <w:sz w:val="16"/>
          <w:szCs w:val="16"/>
          <w:color w:val="auto"/>
        </w:rPr>
        <w:t>This Agreement binds and is for the benefit of the successors and permitted assigns of each party. Borrower may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 transfer, pledge or assign this Agreement or any rights or obligations under it without Collateral Agent’s and each Lender’s prior written consent (which may be granted or withheld in Collateral Agent’s and each Lender’s discretion, subject to Section 12.6). The Lenders have the right, without the consent of or notice to Borrower, to sell, transfer, assign, pledge, negotiate, or grant participation in </w:t>
      </w:r>
      <w:r>
        <w:rPr>
          <w:rFonts w:ascii="Arial" w:cs="Arial" w:eastAsia="Arial" w:hAnsi="Arial"/>
          <w:sz w:val="16"/>
          <w:szCs w:val="16"/>
          <w:b w:val="1"/>
          <w:bCs w:val="1"/>
          <w:color w:val="auto"/>
        </w:rPr>
        <w:t>(any</w:t>
      </w:r>
      <w:r>
        <w:rPr>
          <w:rFonts w:ascii="Arial" w:cs="Arial" w:eastAsia="Arial" w:hAnsi="Arial"/>
          <w:sz w:val="16"/>
          <w:szCs w:val="16"/>
          <w:color w:val="auto"/>
        </w:rPr>
        <w:t xml:space="preserve"> such sale, transfer, assignment, negotiation</w:t>
      </w:r>
      <w:r>
        <w:rPr>
          <w:rFonts w:ascii="Arial" w:cs="Arial" w:eastAsia="Arial" w:hAnsi="Arial"/>
          <w:sz w:val="16"/>
          <w:szCs w:val="16"/>
          <w:b w:val="1"/>
          <w:bCs w:val="1"/>
          <w:color w:val="auto"/>
        </w:rPr>
        <w:t>,</w:t>
      </w:r>
      <w:r>
        <w:rPr>
          <w:rFonts w:ascii="Arial" w:cs="Arial" w:eastAsia="Arial" w:hAnsi="Arial"/>
          <w:sz w:val="16"/>
          <w:szCs w:val="16"/>
          <w:color w:val="auto"/>
        </w:rPr>
        <w:t xml:space="preserve"> or grant of a participation, a </w:t>
      </w:r>
      <w:r>
        <w:rPr>
          <w:rFonts w:ascii="Arial" w:cs="Arial" w:eastAsia="Arial" w:hAnsi="Arial"/>
          <w:sz w:val="16"/>
          <w:szCs w:val="16"/>
          <w:b w:val="1"/>
          <w:bCs w:val="1"/>
          <w:color w:val="auto"/>
        </w:rPr>
        <w:t>“Lender Transfer”)</w:t>
      </w:r>
      <w:r>
        <w:rPr>
          <w:rFonts w:ascii="Arial" w:cs="Arial" w:eastAsia="Arial" w:hAnsi="Arial"/>
          <w:sz w:val="16"/>
          <w:szCs w:val="16"/>
          <w:color w:val="auto"/>
        </w:rPr>
        <w:t xml:space="preserve"> all or any part of, or any interest in, the Lenders’ obligations, rights, and benefits under this Agreement and the other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Lender Transfer (other than a transfer, pledge, sale or assignment to an Eligible Assignee) of its obligations, rights, and benefits under this Agreement and the other Loan Documents shall require the prior written consent of the Required Lenders (such approved assignee, an “</w:t>
      </w:r>
      <w:r>
        <w:rPr>
          <w:rFonts w:ascii="Arial" w:cs="Arial" w:eastAsia="Arial" w:hAnsi="Arial"/>
          <w:sz w:val="16"/>
          <w:szCs w:val="16"/>
          <w:b w:val="1"/>
          <w:bCs w:val="1"/>
          <w:color w:val="auto"/>
        </w:rPr>
        <w:t>Approved Lender</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Borrower and Collateral Agent shall be entitled to continue to deal solely and directly with such Lender in connection with the interests so assigned until Collateral Agent shall have received and accepted an effective assignment agreement in form satisfactory to Collateral Agent executed, delivered and fully completed by the applicable parties thereto, and shall have received such other information regarding such Eligible Assignee or Approved Lender as Collateral Agent reasonably shall require. Notwithstanding anything to the contrary contained herein, so long as no Event of Default has occurred and is continuing, no Lender Transfer (other than a Lender Transfer (i) in respect of the Warrants or (ii) in connection with (x) assignments by a Lender due to a forced divestiture at the request of any regulatory agency; or</w:t>
      </w:r>
    </w:p>
    <w:p>
      <w:pPr>
        <w:spacing w:after="0" w:line="6" w:lineRule="exact"/>
        <w:rPr>
          <w:sz w:val="20"/>
          <w:szCs w:val="20"/>
          <w:color w:val="auto"/>
        </w:rPr>
      </w:pPr>
    </w:p>
    <w:p>
      <w:pPr>
        <w:ind w:left="4" w:right="80" w:hanging="4"/>
        <w:spacing w:after="0" w:line="255" w:lineRule="auto"/>
        <w:tabs>
          <w:tab w:leader="none" w:pos="259" w:val="left"/>
        </w:tabs>
        <w:numPr>
          <w:ilvl w:val="0"/>
          <w:numId w:val="62"/>
        </w:numPr>
        <w:rPr>
          <w:rFonts w:ascii="Arial" w:cs="Arial" w:eastAsia="Arial" w:hAnsi="Arial"/>
          <w:sz w:val="18"/>
          <w:szCs w:val="18"/>
          <w:color w:val="auto"/>
        </w:rPr>
      </w:pPr>
      <w:r>
        <w:rPr>
          <w:rFonts w:ascii="Arial" w:cs="Arial" w:eastAsia="Arial" w:hAnsi="Arial"/>
          <w:sz w:val="18"/>
          <w:szCs w:val="18"/>
          <w:color w:val="auto"/>
        </w:rPr>
        <w:t>upon the occurrence of a default, event of default or similar occurrence with respect to a Lender’s own financing or securitization transactions) shall be permitted, without Borrower’s consent, to any Person which is an Affiliate or Subsidiary of Borrower, a direct competitor of Borrower or a vulture hedge fund, each as determined by Collateral Agent.</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0" w:right="459" w:bottom="1440" w:gutter="0" w:footer="0" w:header="0"/>
        </w:sectPr>
      </w:pPr>
    </w:p>
    <w:bookmarkStart w:id="36" w:name="page37"/>
    <w:bookmarkEnd w:id="36"/>
    <w:p>
      <w:pPr>
        <w:ind w:firstLine="440"/>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12.2 Indemnification. </w:t>
      </w:r>
      <w:r>
        <w:rPr>
          <w:rFonts w:ascii="Arial" w:cs="Arial" w:eastAsia="Arial" w:hAnsi="Arial"/>
          <w:sz w:val="16"/>
          <w:szCs w:val="16"/>
          <w:color w:val="auto"/>
        </w:rPr>
        <w:t>Borrower agrees to indemnify, defend and hold Collateral Agent and the Lenders and their respective directors,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agents, attorneys, or any other Person affiliated with or representing Collateral Agent or the Lenders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harmless against: (a) all obligations, demands, claims, and liabilities (collectively, “</w:t>
      </w:r>
      <w:r>
        <w:rPr>
          <w:rFonts w:ascii="Arial" w:cs="Arial" w:eastAsia="Arial" w:hAnsi="Arial"/>
          <w:sz w:val="16"/>
          <w:szCs w:val="16"/>
          <w:b w:val="1"/>
          <w:bCs w:val="1"/>
          <w:color w:val="auto"/>
        </w:rPr>
        <w:t>Claims</w:t>
      </w:r>
      <w:r>
        <w:rPr>
          <w:rFonts w:ascii="Arial" w:cs="Arial" w:eastAsia="Arial" w:hAnsi="Arial"/>
          <w:sz w:val="16"/>
          <w:szCs w:val="16"/>
          <w:color w:val="auto"/>
        </w:rPr>
        <w:t>”) asserted by any other party in connection with; related to; following; or arising from, out of or under, the transactions contemplated by the Loan Documents; and (b) all losses or Lenders’ Expenses incurred, or paid by Indemnified Person in connection with; related to; following; or arising from, out of or under, the transactions contemplated by the Loan Documents between Collateral Agent, and/or the Lenders and Borrower (including reasonable and documented out-of-pocket attorneys’ fees and expenses), except for Claims and/or losses directly caused by such Indemnified Person’s gross negligence or willful misconduct. Borrower hereby further indemnifies, defends and holds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12.3 Time of Essence. </w:t>
      </w:r>
      <w:r>
        <w:rPr>
          <w:rFonts w:ascii="Arial" w:cs="Arial" w:eastAsia="Arial" w:hAnsi="Arial"/>
          <w:sz w:val="18"/>
          <w:szCs w:val="18"/>
          <w:color w:val="auto"/>
        </w:rPr>
        <w:t>Time is of the essence for the performance of all Obligations in this Agreement.</w:t>
      </w:r>
    </w:p>
    <w:p>
      <w:pPr>
        <w:spacing w:after="0" w:line="117"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 xml:space="preserve">12.4 Severability of Provisions. </w:t>
      </w:r>
      <w:r>
        <w:rPr>
          <w:rFonts w:ascii="Arial" w:cs="Arial" w:eastAsia="Arial" w:hAnsi="Arial"/>
          <w:sz w:val="18"/>
          <w:szCs w:val="18"/>
          <w:color w:val="auto"/>
        </w:rPr>
        <w:t>Each provision of this Agreement is severable from every other provision in determining the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w:t>
      </w:r>
    </w:p>
    <w:p>
      <w:pPr>
        <w:spacing w:after="0" w:line="54"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 xml:space="preserve">12.5 Correction of Loan Documents. </w:t>
      </w:r>
      <w:r>
        <w:rPr>
          <w:rFonts w:ascii="Arial" w:cs="Arial" w:eastAsia="Arial" w:hAnsi="Arial"/>
          <w:sz w:val="18"/>
          <w:szCs w:val="18"/>
          <w:color w:val="auto"/>
        </w:rPr>
        <w:t>Collateral Agent and the Lenders may correct patent errors and fill in any blanks in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Loan Documents consistent with the agreement of the parties, so long as Collateral Agent provides Borrower with written notice of such correction and allows Borrower at least ten (10) days to object to such correction. In the event of such objection, such correction shall not be made except by an amendment signed by both Collateral Agent, the Lenders and Borrower.</w:t>
      </w:r>
    </w:p>
    <w:p>
      <w:pPr>
        <w:spacing w:after="0" w:line="72" w:lineRule="exact"/>
        <w:rPr>
          <w:sz w:val="20"/>
          <w:szCs w:val="20"/>
          <w:color w:val="auto"/>
        </w:rPr>
      </w:pPr>
    </w:p>
    <w:p>
      <w:pPr>
        <w:ind w:right="60" w:firstLine="440"/>
        <w:spacing w:after="0" w:line="314" w:lineRule="auto"/>
        <w:rPr>
          <w:sz w:val="20"/>
          <w:szCs w:val="20"/>
          <w:color w:val="auto"/>
        </w:rPr>
      </w:pPr>
      <w:r>
        <w:rPr>
          <w:rFonts w:ascii="Arial" w:cs="Arial" w:eastAsia="Arial" w:hAnsi="Arial"/>
          <w:sz w:val="16"/>
          <w:szCs w:val="16"/>
          <w:b w:val="1"/>
          <w:bCs w:val="1"/>
          <w:color w:val="auto"/>
        </w:rPr>
        <w:t xml:space="preserve">12.6 Amendments in Writing; Integration. </w:t>
      </w:r>
      <w:r>
        <w:rPr>
          <w:rFonts w:ascii="Arial" w:cs="Arial" w:eastAsia="Arial" w:hAnsi="Arial"/>
          <w:sz w:val="16"/>
          <w:szCs w:val="16"/>
          <w:color w:val="auto"/>
        </w:rPr>
        <w:t>(a) No amendment, modification, termination or waiver of any provision of this Agreement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Loan 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spacing w:after="0" w:line="38" w:lineRule="exact"/>
        <w:rPr>
          <w:sz w:val="20"/>
          <w:szCs w:val="20"/>
          <w:color w:val="auto"/>
        </w:rPr>
      </w:pPr>
    </w:p>
    <w:p>
      <w:pPr>
        <w:ind w:right="360" w:firstLine="1428"/>
        <w:spacing w:after="0" w:line="277" w:lineRule="auto"/>
        <w:tabs>
          <w:tab w:leader="none" w:pos="16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such amendment, waiver or other modification that would have the effect of increasing or reducing a Lender’s Term Loan Commitment or Commitment Percentage shall be effective as to such Lender without such Lender’s written consent;</w:t>
      </w:r>
    </w:p>
    <w:p>
      <w:pPr>
        <w:spacing w:after="0" w:line="62" w:lineRule="exact"/>
        <w:rPr>
          <w:rFonts w:ascii="Arial" w:cs="Arial" w:eastAsia="Arial" w:hAnsi="Arial"/>
          <w:sz w:val="18"/>
          <w:szCs w:val="18"/>
          <w:color w:val="auto"/>
        </w:rPr>
      </w:pPr>
    </w:p>
    <w:p>
      <w:pPr>
        <w:ind w:right="60" w:firstLine="1428"/>
        <w:spacing w:after="0" w:line="277" w:lineRule="auto"/>
        <w:tabs>
          <w:tab w:leader="none" w:pos="1697"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such amendment, waiver or modification that would affect the rights and duties of Collateral Agent shall be effective without Collateral Agent’s written consent or signature;</w:t>
      </w:r>
    </w:p>
    <w:p>
      <w:pPr>
        <w:spacing w:after="0" w:line="62" w:lineRule="exact"/>
        <w:rPr>
          <w:rFonts w:ascii="Arial" w:cs="Arial" w:eastAsia="Arial" w:hAnsi="Arial"/>
          <w:sz w:val="18"/>
          <w:szCs w:val="18"/>
          <w:color w:val="auto"/>
        </w:rPr>
      </w:pPr>
    </w:p>
    <w:p>
      <w:pPr>
        <w:ind w:right="20" w:firstLine="1428"/>
        <w:spacing w:after="0" w:line="270" w:lineRule="auto"/>
        <w:tabs>
          <w:tab w:leader="none" w:pos="1747" w:val="left"/>
        </w:tabs>
        <w:numPr>
          <w:ilvl w:val="0"/>
          <w:numId w:val="63"/>
        </w:numPr>
        <w:rPr>
          <w:rFonts w:ascii="Arial" w:cs="Arial" w:eastAsia="Arial" w:hAnsi="Arial"/>
          <w:sz w:val="17"/>
          <w:szCs w:val="17"/>
          <w:color w:val="auto"/>
        </w:rPr>
      </w:pPr>
      <w:r>
        <w:rPr>
          <w:rFonts w:ascii="Arial" w:cs="Arial" w:eastAsia="Arial" w:hAnsi="Arial"/>
          <w:sz w:val="17"/>
          <w:szCs w:val="17"/>
          <w:color w:val="auto"/>
        </w:rPr>
        <w:t>no such amendment, waiver or other modification shall, unless signed by all the Lenders directly affected thereby, (A) reduce the principal of, rate of interest on or any fees with respect to any Term Loan or forgive any principal, interest (other than default interest) or fees (other than late charges) with respect to any Term Loan (B) postpone the date fixed for, or waive, any payment of principal of any Term Loan or of interest on any Term Loan (other than default interest) or any fees provided for hereunder (other than late charges or for any termination of any commitment); (C) change the definition of the term “</w:t>
      </w:r>
      <w:r>
        <w:rPr>
          <w:rFonts w:ascii="Arial" w:cs="Arial" w:eastAsia="Arial" w:hAnsi="Arial"/>
          <w:sz w:val="17"/>
          <w:szCs w:val="17"/>
          <w:b w:val="1"/>
          <w:bCs w:val="1"/>
          <w:color w:val="auto"/>
        </w:rPr>
        <w:t>Required Lenders</w:t>
      </w:r>
      <w:r>
        <w:rPr>
          <w:rFonts w:ascii="Arial" w:cs="Arial" w:eastAsia="Arial" w:hAnsi="Arial"/>
          <w:sz w:val="17"/>
          <w:szCs w:val="17"/>
          <w:color w:val="auto"/>
        </w:rPr>
        <w:t>” or the percentage of Lenders which shall be required for the Lenders to take any action hereunder; (D) 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0" w:right="459" w:bottom="1440" w:gutter="0" w:footer="0" w:header="0"/>
        </w:sectPr>
      </w:pPr>
    </w:p>
    <w:bookmarkStart w:id="37" w:name="page38"/>
    <w:bookmarkEnd w:id="37"/>
    <w:p>
      <w:pPr>
        <w:ind w:left="4"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hereunder); (E) amend, waive or otherwise modify this Section 12.6 or the definitions of the terms used in this Section 12.6 insofar as the definitions affect the substance of this Section 12.6;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or</w:t>
      </w:r>
    </w:p>
    <w:p>
      <w:pPr>
        <w:spacing w:after="0" w:line="4" w:lineRule="exact"/>
        <w:rPr>
          <w:sz w:val="20"/>
          <w:szCs w:val="20"/>
          <w:color w:val="auto"/>
        </w:rPr>
      </w:pPr>
    </w:p>
    <w:p>
      <w:pPr>
        <w:ind w:left="4" w:right="520" w:hanging="4"/>
        <w:spacing w:after="0" w:line="323" w:lineRule="auto"/>
        <w:tabs>
          <w:tab w:leader="none" w:pos="229" w:val="left"/>
        </w:tabs>
        <w:numPr>
          <w:ilvl w:val="0"/>
          <w:numId w:val="64"/>
        </w:numPr>
        <w:rPr>
          <w:rFonts w:ascii="Arial" w:cs="Arial" w:eastAsia="Arial" w:hAnsi="Arial"/>
          <w:sz w:val="16"/>
          <w:szCs w:val="16"/>
          <w:color w:val="auto"/>
        </w:rPr>
      </w:pPr>
      <w:r>
        <w:rPr>
          <w:rFonts w:ascii="Arial" w:cs="Arial" w:eastAsia="Arial" w:hAnsi="Arial"/>
          <w:sz w:val="16"/>
          <w:szCs w:val="16"/>
          <w:color w:val="auto"/>
        </w:rPr>
        <w:t>amend any of the provisions of Section 12.10. It is hereby understood and agreed that all Lenders shall be deemed directly affected by an amendment, waiver or other modification of the type described in the preceding clauses (C), (D), (E), (F), (G) and (H) of the preceding sentence;</w:t>
      </w:r>
    </w:p>
    <w:p>
      <w:pPr>
        <w:spacing w:after="0" w:line="30" w:lineRule="exact"/>
        <w:rPr>
          <w:rFonts w:ascii="Arial" w:cs="Arial" w:eastAsia="Arial" w:hAnsi="Arial"/>
          <w:sz w:val="16"/>
          <w:szCs w:val="16"/>
          <w:color w:val="auto"/>
        </w:rPr>
      </w:pPr>
    </w:p>
    <w:p>
      <w:pPr>
        <w:jc w:val="both"/>
        <w:ind w:left="4" w:right="340" w:firstLine="1428"/>
        <w:spacing w:after="0" w:line="263" w:lineRule="auto"/>
        <w:tabs>
          <w:tab w:leader="none" w:pos="1741" w:val="left"/>
        </w:tabs>
        <w:numPr>
          <w:ilvl w:val="2"/>
          <w:numId w:val="64"/>
        </w:numPr>
        <w:rPr>
          <w:rFonts w:ascii="Arial" w:cs="Arial" w:eastAsia="Arial" w:hAnsi="Arial"/>
          <w:sz w:val="18"/>
          <w:szCs w:val="18"/>
          <w:color w:val="auto"/>
        </w:rPr>
      </w:pPr>
      <w:r>
        <w:rPr>
          <w:rFonts w:ascii="Arial" w:cs="Arial" w:eastAsia="Arial" w:hAnsi="Arial"/>
          <w:sz w:val="18"/>
          <w:szCs w:val="18"/>
          <w:color w:val="auto"/>
        </w:rPr>
        <w:t>the provisions of the foregoing clauses (i), (ii) and (iii) are subject to the provisions of any interlender or agency agreement among the Lenders and Collateral Agent pursuant to which any Lender may agree to give its consent in connection with any amendment, waiver or modification of the Loan Documents only in the event of the unanimous agreement of all Lenders.</w:t>
      </w:r>
    </w:p>
    <w:p>
      <w:pPr>
        <w:spacing w:after="0" w:line="75" w:lineRule="exact"/>
        <w:rPr>
          <w:rFonts w:ascii="Arial" w:cs="Arial" w:eastAsia="Arial" w:hAnsi="Arial"/>
          <w:sz w:val="18"/>
          <w:szCs w:val="18"/>
          <w:color w:val="auto"/>
        </w:rPr>
      </w:pPr>
    </w:p>
    <w:p>
      <w:pPr>
        <w:ind w:left="4" w:right="60" w:firstLine="987"/>
        <w:spacing w:after="0" w:line="277" w:lineRule="auto"/>
        <w:tabs>
          <w:tab w:leader="none" w:pos="1250" w:val="left"/>
        </w:tabs>
        <w:numPr>
          <w:ilvl w:val="1"/>
          <w:numId w:val="64"/>
        </w:numPr>
        <w:rPr>
          <w:rFonts w:ascii="Arial" w:cs="Arial" w:eastAsia="Arial" w:hAnsi="Arial"/>
          <w:sz w:val="18"/>
          <w:szCs w:val="18"/>
          <w:color w:val="auto"/>
        </w:rPr>
      </w:pPr>
      <w:r>
        <w:rPr>
          <w:rFonts w:ascii="Arial" w:cs="Arial" w:eastAsia="Arial" w:hAnsi="Arial"/>
          <w:sz w:val="18"/>
          <w:szCs w:val="18"/>
          <w:color w:val="auto"/>
        </w:rPr>
        <w:t>Other than as expressly provided for in Section 12.6(a)(i)-(iii), Collateral Agent may, if requested by the Required Lenders, from time to time designate covenants in this Agreement less restrictive by notification to a representative of Borrower.</w:t>
      </w:r>
    </w:p>
    <w:p>
      <w:pPr>
        <w:spacing w:after="0" w:line="62" w:lineRule="exact"/>
        <w:rPr>
          <w:rFonts w:ascii="Arial" w:cs="Arial" w:eastAsia="Arial" w:hAnsi="Arial"/>
          <w:sz w:val="18"/>
          <w:szCs w:val="18"/>
          <w:color w:val="auto"/>
        </w:rPr>
      </w:pPr>
    </w:p>
    <w:p>
      <w:pPr>
        <w:ind w:left="4" w:right="100" w:firstLine="987"/>
        <w:spacing w:after="0" w:line="263" w:lineRule="auto"/>
        <w:tabs>
          <w:tab w:leader="none" w:pos="12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This Agreement and the Loan Documents represent the entire agreement about this subject matter and supersede prior negotiations or agreements. All prior agreements, understandings, representations, warranties, and negotiations between the parties about the subject matter of this Agreement and the Loan Documents merge into this Agreement and the Loan Documents.</w:t>
      </w:r>
    </w:p>
    <w:p>
      <w:pPr>
        <w:spacing w:after="0" w:line="72" w:lineRule="exact"/>
        <w:rPr>
          <w:sz w:val="20"/>
          <w:szCs w:val="20"/>
          <w:color w:val="auto"/>
        </w:rPr>
      </w:pPr>
    </w:p>
    <w:p>
      <w:pPr>
        <w:ind w:left="4" w:right="260" w:firstLine="440"/>
        <w:spacing w:after="0" w:line="282" w:lineRule="auto"/>
        <w:rPr>
          <w:sz w:val="20"/>
          <w:szCs w:val="20"/>
          <w:color w:val="auto"/>
        </w:rPr>
      </w:pPr>
      <w:r>
        <w:rPr>
          <w:rFonts w:ascii="Arial" w:cs="Arial" w:eastAsia="Arial" w:hAnsi="Arial"/>
          <w:sz w:val="18"/>
          <w:szCs w:val="18"/>
          <w:b w:val="1"/>
          <w:bCs w:val="1"/>
          <w:color w:val="auto"/>
        </w:rPr>
        <w:t xml:space="preserve">12.7 Counterparts. </w:t>
      </w:r>
      <w:r>
        <w:rPr>
          <w:rFonts w:ascii="Arial" w:cs="Arial" w:eastAsia="Arial" w:hAnsi="Arial"/>
          <w:sz w:val="18"/>
          <w:szCs w:val="18"/>
          <w:color w:val="auto"/>
        </w:rPr>
        <w:t>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Agreement.</w:t>
      </w:r>
    </w:p>
    <w:p>
      <w:pPr>
        <w:spacing w:after="0" w:line="54"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b w:val="1"/>
          <w:bCs w:val="1"/>
          <w:color w:val="auto"/>
        </w:rPr>
        <w:t xml:space="preserve">12.8 Survival. </w:t>
      </w:r>
      <w:r>
        <w:rPr>
          <w:rFonts w:ascii="Arial" w:cs="Arial" w:eastAsia="Arial" w:hAnsi="Arial"/>
          <w:sz w:val="18"/>
          <w:szCs w:val="18"/>
          <w:color w:val="auto"/>
        </w:rPr>
        <w:t>All covenants, representations and warranties made in this Agreement continue in full force and effect until this Agreement has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pursuant to its terms and all Obligations (other than inchoate indemnity obligations and any other obligations which, by their terms, are to survive the termination of this Agreement) have been satisfied. Without limiting the foregoing, except as otherwise provided in Section 4.1, the grant of security interest by Borrower in Section 4.1 and the liens granted under the Debentures shall survive until the termination of this Agreement, the Debentures and all Bank Services Agreements. The obligation of Borrower in Section 12.2 to indemnify each Lender and Collateral Agent, as well as the confidentiality provisions in Section 12.9 below, shall survive until the statute of limitations with respect to such claim or cause of action shall have run.</w:t>
      </w:r>
    </w:p>
    <w:p>
      <w:pPr>
        <w:spacing w:after="0" w:line="81" w:lineRule="exact"/>
        <w:rPr>
          <w:sz w:val="20"/>
          <w:szCs w:val="20"/>
          <w:color w:val="auto"/>
        </w:rPr>
      </w:pPr>
    </w:p>
    <w:p>
      <w:pPr>
        <w:ind w:left="4" w:right="160" w:firstLine="440"/>
        <w:spacing w:after="0" w:line="287" w:lineRule="auto"/>
        <w:rPr>
          <w:sz w:val="20"/>
          <w:szCs w:val="20"/>
          <w:color w:val="auto"/>
        </w:rPr>
      </w:pPr>
      <w:r>
        <w:rPr>
          <w:rFonts w:ascii="Arial" w:cs="Arial" w:eastAsia="Arial" w:hAnsi="Arial"/>
          <w:sz w:val="16"/>
          <w:szCs w:val="16"/>
          <w:b w:val="1"/>
          <w:bCs w:val="1"/>
          <w:color w:val="auto"/>
        </w:rPr>
        <w:t xml:space="preserve">12.9 Confidentiality. </w:t>
      </w:r>
      <w:r>
        <w:rPr>
          <w:rFonts w:ascii="Arial" w:cs="Arial" w:eastAsia="Arial" w:hAnsi="Arial"/>
          <w:sz w:val="16"/>
          <w:szCs w:val="16"/>
          <w:color w:val="auto"/>
        </w:rPr>
        <w:t>In handling any confidential information of Borrower, the Lenders and Collateral Agent shall exercise the same degree of</w:t>
      </w:r>
      <w:r>
        <w:rPr>
          <w:rFonts w:ascii="Arial" w:cs="Arial" w:eastAsia="Arial" w:hAnsi="Arial"/>
          <w:sz w:val="16"/>
          <w:szCs w:val="16"/>
          <w:b w:val="1"/>
          <w:bCs w:val="1"/>
          <w:color w:val="auto"/>
        </w:rPr>
        <w:t xml:space="preserve"> </w:t>
      </w:r>
      <w:r>
        <w:rPr>
          <w:rFonts w:ascii="Arial" w:cs="Arial" w:eastAsia="Arial" w:hAnsi="Arial"/>
          <w:sz w:val="16"/>
          <w:szCs w:val="16"/>
          <w:color w:val="auto"/>
        </w:rPr>
        <w:t>care that it exercises for their own proprietary information, but disclosure of information may be made: (a) subject to the terms and conditions of this Agreement, to the Lenders’ and Collateral Agent’s Subsidiaries or Affiliates, or in connection with a Lender’s own financing or securitization transactions and upon the occurrence of a default, event of default or similar occurrence with respect to such financing or securitization transaction;</w:t>
      </w:r>
    </w:p>
    <w:p>
      <w:pPr>
        <w:spacing w:after="0" w:line="2" w:lineRule="exact"/>
        <w:rPr>
          <w:sz w:val="20"/>
          <w:szCs w:val="20"/>
          <w:color w:val="auto"/>
        </w:rPr>
      </w:pPr>
    </w:p>
    <w:p>
      <w:pPr>
        <w:ind w:left="4" w:right="60" w:hanging="4"/>
        <w:spacing w:after="0" w:line="281" w:lineRule="auto"/>
        <w:tabs>
          <w:tab w:leader="none" w:pos="259"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prospective transferees (other than those identified in (a) above) or purchasers of any interest in the Credit Extensions (provided, however, the Lenders and Collateral Agent shall, except upon the occurrence and during the continuance of an Event of Default, obtain such prospective transferee’s or purchaser’s agreement to the terms of this provision or to similar confidentiality terms); (c) as required by law, regulation, subpoena, or other order;</w:t>
      </w:r>
    </w:p>
    <w:p>
      <w:pPr>
        <w:spacing w:after="0" w:line="1" w:lineRule="exact"/>
        <w:rPr>
          <w:rFonts w:ascii="Arial" w:cs="Arial" w:eastAsia="Arial" w:hAnsi="Arial"/>
          <w:sz w:val="16"/>
          <w:szCs w:val="16"/>
          <w:color w:val="auto"/>
        </w:rPr>
      </w:pPr>
    </w:p>
    <w:p>
      <w:pPr>
        <w:ind w:left="4" w:hanging="4"/>
        <w:spacing w:after="0" w:line="252" w:lineRule="auto"/>
        <w:tabs>
          <w:tab w:leader="none" w:pos="25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with the Lenders and Collateral Agent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or (ii) is disclosed to the Lenders and/or Collateral Agent by a third party, if the Lenders and/or Collateral Agent does not know that the third party is prohibited</w:t>
      </w:r>
    </w:p>
    <w:p>
      <w:pPr>
        <w:spacing w:after="0" w:line="12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4"/>
          </w:cols>
          <w:pgMar w:left="436" w:top="274" w:right="519" w:bottom="1440" w:gutter="0" w:footer="0" w:header="0"/>
        </w:sectPr>
      </w:pPr>
    </w:p>
    <w:bookmarkStart w:id="38" w:name="page39"/>
    <w:bookmarkEnd w:id="38"/>
    <w:p>
      <w:pPr>
        <w:ind w:left="4" w:right="1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from disclosing the information. Collateral Agent and the Lenders may use confidential information for any purpose, including, without limitation, for the development of client databases, reporting purposes, and market analysis. The provisions of the immediately preceding sentence shall survive the termination of this Agreement. The agreements provided under this Section 12.9 supersede all prior agreements, understanding, representations, warranties, and negotiations between the parties about the subject matter of this Section 12.9.</w:t>
      </w:r>
    </w:p>
    <w:p>
      <w:pPr>
        <w:spacing w:after="0" w:line="59" w:lineRule="exact"/>
        <w:rPr>
          <w:sz w:val="20"/>
          <w:szCs w:val="20"/>
          <w:color w:val="auto"/>
        </w:rPr>
      </w:pPr>
    </w:p>
    <w:p>
      <w:pPr>
        <w:ind w:left="4" w:right="20" w:firstLine="440"/>
        <w:spacing w:after="0" w:line="285" w:lineRule="auto"/>
        <w:rPr>
          <w:sz w:val="20"/>
          <w:szCs w:val="20"/>
          <w:color w:val="auto"/>
        </w:rPr>
      </w:pPr>
      <w:r>
        <w:rPr>
          <w:rFonts w:ascii="Arial" w:cs="Arial" w:eastAsia="Arial" w:hAnsi="Arial"/>
          <w:sz w:val="16"/>
          <w:szCs w:val="16"/>
          <w:b w:val="1"/>
          <w:bCs w:val="1"/>
          <w:color w:val="auto"/>
        </w:rPr>
        <w:t xml:space="preserve">12.10 Right of Set Off. </w:t>
      </w:r>
      <w:r>
        <w:rPr>
          <w:rFonts w:ascii="Arial" w:cs="Arial" w:eastAsia="Arial" w:hAnsi="Arial"/>
          <w:sz w:val="16"/>
          <w:szCs w:val="16"/>
          <w:color w:val="auto"/>
        </w:rPr>
        <w:t>Borrower hereby grants to Collateral Agent and to each Lender, a lien, security interest and right of set off as security for</w:t>
      </w:r>
      <w:r>
        <w:rPr>
          <w:rFonts w:ascii="Arial" w:cs="Arial" w:eastAsia="Arial" w:hAnsi="Arial"/>
          <w:sz w:val="16"/>
          <w:szCs w:val="16"/>
          <w:b w:val="1"/>
          <w:bCs w:val="1"/>
          <w:color w:val="auto"/>
        </w:rPr>
        <w:t xml:space="preserve"> </w:t>
      </w:r>
      <w:r>
        <w:rPr>
          <w:rFonts w:ascii="Arial" w:cs="Arial" w:eastAsia="Arial" w:hAnsi="Arial"/>
          <w:sz w:val="16"/>
          <w:szCs w:val="16"/>
          <w:color w:val="auto"/>
        </w:rPr>
        <w:t>all 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Borrower even though unmatured and regardless of the adequacy of any other collateral securing the Obligations.</w:t>
      </w:r>
    </w:p>
    <w:p>
      <w:pPr>
        <w:spacing w:after="0" w:line="3"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81"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b w:val="1"/>
          <w:bCs w:val="1"/>
          <w:color w:val="auto"/>
        </w:rPr>
        <w:t xml:space="preserve">12.11 Cooperation of Borrower. </w:t>
      </w:r>
      <w:r>
        <w:rPr>
          <w:rFonts w:ascii="Arial" w:cs="Arial" w:eastAsia="Arial" w:hAnsi="Arial"/>
          <w:sz w:val="16"/>
          <w:szCs w:val="16"/>
          <w:color w:val="auto"/>
        </w:rPr>
        <w:t>If necessary, Borrower agrees to (i) execute any documents reasonably required to effectuate and acknowledge</w:t>
      </w:r>
      <w:r>
        <w:rPr>
          <w:rFonts w:ascii="Arial" w:cs="Arial" w:eastAsia="Arial" w:hAnsi="Arial"/>
          <w:sz w:val="16"/>
          <w:szCs w:val="16"/>
          <w:b w:val="1"/>
          <w:bCs w:val="1"/>
          <w:color w:val="auto"/>
        </w:rPr>
        <w:t xml:space="preserve"> </w:t>
      </w:r>
      <w:r>
        <w:rPr>
          <w:rFonts w:ascii="Arial" w:cs="Arial" w:eastAsia="Arial" w:hAnsi="Arial"/>
          <w:sz w:val="16"/>
          <w:szCs w:val="16"/>
          <w:color w:val="auto"/>
        </w:rPr>
        <w:t>each assignment of a Term Loan Commitment or Loan to an assignee in accordance with Section 12.1, (ii) make Borrower’s management available to meet at Borrower’s offices with Collateral Agent and prospective participants and assignees of Term Loan Commitments or Credit Extensions (which meetings shall be conducted no more often than twice every twelve months unless an Event of Default has occurred and is continuing) during normal business hours and upon reasonable prior written notice (unless an Event of Default has occurred and is continuing), and (iii) reasonably assist Collateral Agent or the Lenders in the preparation of information relating to the financial affairs of Borrower as any prospective participant or assignee of a Term Loan Commitment or Term Loan reasonably may request. Subject to the provisions of Section 12.9, Borrower authorizes each Lender to disclose to any prospective participant or assignee of a Term Loan Commitment,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w:t>
      </w:r>
    </w:p>
    <w:p>
      <w:pPr>
        <w:spacing w:after="0" w:line="53" w:lineRule="exact"/>
        <w:rPr>
          <w:sz w:val="20"/>
          <w:szCs w:val="20"/>
          <w:color w:val="auto"/>
        </w:rPr>
      </w:pPr>
    </w:p>
    <w:p>
      <w:pPr>
        <w:ind w:left="4" w:right="80" w:firstLine="440"/>
        <w:spacing w:after="0" w:line="285" w:lineRule="auto"/>
        <w:rPr>
          <w:sz w:val="20"/>
          <w:szCs w:val="20"/>
          <w:color w:val="auto"/>
        </w:rPr>
      </w:pPr>
      <w:r>
        <w:rPr>
          <w:rFonts w:ascii="Arial" w:cs="Arial" w:eastAsia="Arial" w:hAnsi="Arial"/>
          <w:sz w:val="16"/>
          <w:szCs w:val="16"/>
          <w:b w:val="1"/>
          <w:bCs w:val="1"/>
          <w:color w:val="auto"/>
        </w:rPr>
        <w:t>12.12 Borrower Liability</w:t>
      </w:r>
      <w:r>
        <w:rPr>
          <w:rFonts w:ascii="Arial" w:cs="Arial" w:eastAsia="Arial" w:hAnsi="Arial"/>
          <w:sz w:val="16"/>
          <w:szCs w:val="16"/>
          <w:color w:val="auto"/>
        </w:rPr>
        <w:t>. Either Borrower may, acting singly, request Credit Extensions hereunder. Each Borrower hereby appoints the other as</w:t>
      </w:r>
      <w:r>
        <w:rPr>
          <w:rFonts w:ascii="Arial" w:cs="Arial" w:eastAsia="Arial" w:hAnsi="Arial"/>
          <w:sz w:val="16"/>
          <w:szCs w:val="16"/>
          <w:b w:val="1"/>
          <w:bCs w:val="1"/>
          <w:color w:val="auto"/>
        </w:rPr>
        <w:t xml:space="preserve"> </w:t>
      </w:r>
      <w:r>
        <w:rPr>
          <w:rFonts w:ascii="Arial" w:cs="Arial" w:eastAsia="Arial" w:hAnsi="Arial"/>
          <w:sz w:val="16"/>
          <w:szCs w:val="16"/>
          <w:color w:val="auto"/>
        </w:rPr>
        <w:t>agent for the other for all purposes hereunder, including with respect to requesting Credit Extensions hereunder. Each Borrower hereunder shall be jointly and severally obligated to repay all Credit Extensions made hereunder, regardless of which Borrower actually receives said Credit Extension, as if each Borrower hereunder directly received all Credit Extensions. Each Borrower waives (a) any suretyship defenses available to it under the Code or any other applicable law, including, without limitation, the benefit of California Civil Code Section 2815 permitting revocation as to future transactions and the benefit of California Civil Code Sections 1432, 2809, 2810, 2819, 2839, 2845, 2847, 2848, 2849, 2850, and 2899 and 3433, and (b) any right to require Collateral Agent or any Lender to: (i) proceed against any Borrower or any other person; (ii) proceed against or exhaust any security; or</w:t>
      </w:r>
    </w:p>
    <w:p>
      <w:pPr>
        <w:spacing w:after="0" w:line="1" w:lineRule="exact"/>
        <w:rPr>
          <w:sz w:val="20"/>
          <w:szCs w:val="20"/>
          <w:color w:val="auto"/>
        </w:rPr>
      </w:pPr>
    </w:p>
    <w:p>
      <w:pPr>
        <w:ind w:left="4" w:right="20" w:hanging="4"/>
        <w:spacing w:after="0" w:line="267" w:lineRule="auto"/>
        <w:tabs>
          <w:tab w:leader="none" w:pos="319" w:val="left"/>
        </w:tabs>
        <w:numPr>
          <w:ilvl w:val="0"/>
          <w:numId w:val="67"/>
        </w:numPr>
        <w:rPr>
          <w:rFonts w:ascii="Arial" w:cs="Arial" w:eastAsia="Arial" w:hAnsi="Arial"/>
          <w:sz w:val="17"/>
          <w:szCs w:val="17"/>
          <w:color w:val="auto"/>
        </w:rPr>
      </w:pPr>
      <w:r>
        <w:rPr>
          <w:rFonts w:ascii="Arial" w:cs="Arial" w:eastAsia="Arial" w:hAnsi="Arial"/>
          <w:sz w:val="17"/>
          <w:szCs w:val="17"/>
          <w:color w:val="auto"/>
        </w:rPr>
        <w:t>pursue any other remedy. Collateral Agent and or any Lender may exercise or not exercise any right or remedy it has against any Borrower or any security it holds (including the right to foreclose by judicial or non-judicial sale) without affecting any Borrower’s liability. Notwithstanding any other provision of this Agreement or other related document, each Borrower irrevocably waives all rights that it may have at law or in equity (including, without limitation, any law subrogating Borrower to the rights of Collateral Agent and the Lenders under this Agreement) to seek contribution, indemnification or any other form of reimbursement from any other Borrower, or any other Person now or hereafter primarily or secondarily liable for any of the Obligations, for any payment made by Borrower with respect to the Obligations in connection with this Agreement or otherwise and all rights that it might have to benefit from, or to participate in, any security for the Obligations as a result of any payment made by Borrower with respect to the Obligations in connection with this Agreement or otherwise. Any agreement providing for indemnification, reimbursement or any other arrangement prohibited under this Section shall be null and void. If any payment is made to a Borrower in contravention of this Section, such Borrower shall hold such payment in trust for Collateral Agent and the Lenders and such payment shall be promptly delivered to Collateral Agent for application to the Obligations, whether matured or unmatured.</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39" w:name="page40"/>
    <w:bookmarkEnd w:id="39"/>
    <w:p>
      <w:pPr>
        <w:ind w:left="4" w:right="40" w:firstLine="44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12.13 Electronic Execution of Documents</w:t>
      </w:r>
      <w:r>
        <w:rPr>
          <w:rFonts w:ascii="Arial" w:cs="Arial" w:eastAsia="Arial" w:hAnsi="Arial"/>
          <w:sz w:val="17"/>
          <w:szCs w:val="17"/>
          <w:color w:val="auto"/>
        </w:rPr>
        <w:t>. The words “execution,” “signed,” “signature” and words of like import in any Loan Document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92" w:lineRule="exact"/>
        <w:rPr>
          <w:sz w:val="20"/>
          <w:szCs w:val="20"/>
          <w:color w:val="auto"/>
        </w:rPr>
      </w:pPr>
    </w:p>
    <w:p>
      <w:pPr>
        <w:ind w:left="424" w:hanging="424"/>
        <w:spacing w:after="0"/>
        <w:tabs>
          <w:tab w:leader="none" w:pos="424"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17" w:lineRule="exact"/>
        <w:rPr>
          <w:rFonts w:ascii="Arial" w:cs="Arial" w:eastAsia="Arial" w:hAnsi="Arial"/>
          <w:sz w:val="18"/>
          <w:szCs w:val="18"/>
          <w:b w:val="1"/>
          <w:bCs w:val="1"/>
          <w:color w:val="auto"/>
        </w:rPr>
      </w:pPr>
    </w:p>
    <w:p>
      <w:pPr>
        <w:ind w:left="444" w:right="3640"/>
        <w:spacing w:after="0" w:line="500"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13.1 Definitions. </w:t>
      </w:r>
      <w:r>
        <w:rPr>
          <w:rFonts w:ascii="Arial" w:cs="Arial" w:eastAsia="Arial" w:hAnsi="Arial"/>
          <w:sz w:val="18"/>
          <w:szCs w:val="18"/>
          <w:color w:val="auto"/>
        </w:rPr>
        <w:t>As used in this Agreement, the following terms have the following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89Bio</w:t>
      </w:r>
      <w:r>
        <w:rPr>
          <w:rFonts w:ascii="Arial" w:cs="Arial" w:eastAsia="Arial" w:hAnsi="Arial"/>
          <w:sz w:val="18"/>
          <w:szCs w:val="18"/>
          <w:color w:val="auto"/>
        </w:rPr>
        <w:t>” is defined in the preamble hereof.</w:t>
      </w:r>
    </w:p>
    <w:p>
      <w:pPr>
        <w:spacing w:after="0" w:line="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89Bio Israel</w:t>
      </w:r>
      <w:r>
        <w:rPr>
          <w:rFonts w:ascii="Arial" w:cs="Arial" w:eastAsia="Arial" w:hAnsi="Arial"/>
          <w:sz w:val="18"/>
          <w:szCs w:val="18"/>
          <w:color w:val="auto"/>
        </w:rPr>
        <w:t>” is defined in the preamble hereof.</w:t>
      </w:r>
    </w:p>
    <w:p>
      <w:pPr>
        <w:spacing w:after="0" w:line="225" w:lineRule="exact"/>
        <w:rPr>
          <w:rFonts w:ascii="Arial" w:cs="Arial" w:eastAsia="Arial" w:hAnsi="Arial"/>
          <w:sz w:val="18"/>
          <w:szCs w:val="18"/>
          <w:b w:val="1"/>
          <w:bCs w:val="1"/>
          <w:color w:val="auto"/>
        </w:rPr>
      </w:pPr>
    </w:p>
    <w:p>
      <w:pPr>
        <w:ind w:left="444" w:right="1640"/>
        <w:spacing w:after="0" w:line="500"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89bio Lithuania</w:t>
      </w:r>
      <w:r>
        <w:rPr>
          <w:rFonts w:ascii="Arial" w:cs="Arial" w:eastAsia="Arial" w:hAnsi="Arial"/>
          <w:sz w:val="18"/>
          <w:szCs w:val="18"/>
          <w:color w:val="auto"/>
        </w:rPr>
        <w:t>” is UAB 89bio Lithuania, a wholly owned subsidary of Borrower organized under the laws of Lithuania. “</w:t>
      </w:r>
      <w:r>
        <w:rPr>
          <w:rFonts w:ascii="Arial" w:cs="Arial" w:eastAsia="Arial" w:hAnsi="Arial"/>
          <w:sz w:val="18"/>
          <w:szCs w:val="18"/>
          <w:b w:val="1"/>
          <w:bCs w:val="1"/>
          <w:color w:val="auto"/>
        </w:rPr>
        <w:t>89Bio Management</w:t>
      </w:r>
      <w:r>
        <w:rPr>
          <w:rFonts w:ascii="Arial" w:cs="Arial" w:eastAsia="Arial" w:hAnsi="Arial"/>
          <w:sz w:val="18"/>
          <w:szCs w:val="18"/>
          <w:color w:val="auto"/>
        </w:rPr>
        <w:t>” is defined in the preamble hereof.</w:t>
      </w:r>
    </w:p>
    <w:p>
      <w:pPr>
        <w:spacing w:after="0" w:line="2" w:lineRule="exact"/>
        <w:rPr>
          <w:sz w:val="20"/>
          <w:szCs w:val="20"/>
          <w:color w:val="auto"/>
        </w:rPr>
      </w:pPr>
    </w:p>
    <w:p>
      <w:pPr>
        <w:ind w:left="4"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and includes, without limitation, all accounts receivable and other sums owing to Borrower.</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225"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Date</w:t>
      </w:r>
      <w:r>
        <w:rPr>
          <w:rFonts w:ascii="Arial" w:cs="Arial" w:eastAsia="Arial" w:hAnsi="Arial"/>
          <w:sz w:val="18"/>
          <w:szCs w:val="18"/>
          <w:color w:val="auto"/>
        </w:rPr>
        <w:t>” is April 1, 2021; provided, however, if the Term B Loan is funded, then the Amortization Date with respect to all Term Loans shall be extended to October 1, 2021.</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Projections</w:t>
      </w:r>
      <w:r>
        <w:rPr>
          <w:rFonts w:ascii="Arial" w:cs="Arial" w:eastAsia="Arial" w:hAnsi="Arial"/>
          <w:sz w:val="18"/>
          <w:szCs w:val="18"/>
          <w:color w:val="auto"/>
        </w:rPr>
        <w:t>” is defined in Section 6.2(a).</w:t>
      </w:r>
    </w:p>
    <w:p>
      <w:pPr>
        <w:spacing w:after="0" w:line="225" w:lineRule="exact"/>
        <w:rPr>
          <w:sz w:val="20"/>
          <w:szCs w:val="20"/>
          <w:color w:val="auto"/>
        </w:rPr>
      </w:pPr>
    </w:p>
    <w:p>
      <w:pPr>
        <w:ind w:left="4" w:right="14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Anti-Terrorism Laws</w:t>
      </w:r>
      <w:r>
        <w:rPr>
          <w:rFonts w:ascii="Arial" w:cs="Arial" w:eastAsia="Arial" w:hAnsi="Arial"/>
          <w:sz w:val="17"/>
          <w:szCs w:val="17"/>
          <w:color w:val="auto"/>
        </w:rPr>
        <w:t>” are any laws relating to terrorism or money laundering, including Executive Order No. 13224 (effective September 24, 2001), the USA PATRIOT Act, the laws comprising or implementing the Bank Secrecy Act, and the laws administered by OFAC.</w:t>
      </w:r>
    </w:p>
    <w:p>
      <w:pPr>
        <w:spacing w:after="0" w:line="140" w:lineRule="exact"/>
        <w:rPr>
          <w:sz w:val="20"/>
          <w:szCs w:val="20"/>
          <w:color w:val="auto"/>
        </w:rPr>
      </w:pPr>
    </w:p>
    <w:p>
      <w:pPr>
        <w:ind w:left="4"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Fund</w:t>
      </w:r>
      <w:r>
        <w:rPr>
          <w:rFonts w:ascii="Arial" w:cs="Arial" w:eastAsia="Arial" w:hAnsi="Arial"/>
          <w:sz w:val="17"/>
          <w:szCs w:val="17"/>
          <w:color w:val="auto"/>
        </w:rPr>
        <w:t>” is any (i) investment company, fund, trust, securitization vehicle or conduit that is (or will be) engaged in making, purchasing, holding or otherwise investing in commercial loans and similar extensions of credit in the ordinary course of its business or (ii) any Person (other than a natural person) which temporarily warehouses loans for any Lender or any entity described in the preceding clause (i) and that, with respect to each of the preceding clauses (i) and (ii), is administered or managed by (a) a Lender, (b) an Affiliate of a Lender or (c) a Person (other than a natural person) or an Affiliate of a Person (other than a natural person) that administers or manages a Lender.</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Lender</w:t>
      </w:r>
      <w:r>
        <w:rPr>
          <w:rFonts w:ascii="Arial" w:cs="Arial" w:eastAsia="Arial" w:hAnsi="Arial"/>
          <w:sz w:val="18"/>
          <w:szCs w:val="18"/>
          <w:color w:val="auto"/>
        </w:rPr>
        <w:t>” is defined in Section 12.1.</w:t>
      </w:r>
    </w:p>
    <w:p>
      <w:pPr>
        <w:spacing w:after="0" w:line="16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4"/>
          </w:cols>
          <w:pgMar w:left="436" w:top="270" w:right="499" w:bottom="1440" w:gutter="0" w:footer="0" w:header="0"/>
        </w:sectPr>
      </w:pPr>
    </w:p>
    <w:bookmarkStart w:id="40" w:name="page41"/>
    <w:bookmarkEnd w:id="40"/>
    <w:p>
      <w:pPr>
        <w:ind w:left="4" w:right="60" w:firstLine="4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Bank Services</w:t>
      </w:r>
      <w:r>
        <w:rPr>
          <w:rFonts w:ascii="Arial" w:cs="Arial" w:eastAsia="Arial" w:hAnsi="Arial"/>
          <w:sz w:val="18"/>
          <w:szCs w:val="18"/>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Arial" w:cs="Arial" w:eastAsia="Arial" w:hAnsi="Arial"/>
          <w:sz w:val="18"/>
          <w:szCs w:val="18"/>
          <w:b w:val="1"/>
          <w:bCs w:val="1"/>
          <w:color w:val="auto"/>
        </w:rPr>
        <w:t>Bank Services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Basic Rate</w:t>
      </w:r>
      <w:r>
        <w:rPr>
          <w:rFonts w:ascii="Arial" w:cs="Arial" w:eastAsia="Arial" w:hAnsi="Arial"/>
          <w:sz w:val="16"/>
          <w:szCs w:val="16"/>
          <w:color w:val="auto"/>
        </w:rPr>
        <w:t>” is the per annum rate of interest (based on a year of three hundred sixty (360) days) equal to the greater of (i) four and one half percent (4.50%) and (ii) the sum of (a) the Prime Rate, as reported in The Wall Street Journal on the last Business Day of the month that immediately precedes the month in which the interest will accrue, plus (b) one and one quarter percent (1.25%). Notwithstanding the foregoing, the Basic Rate for the Term Loan for the period from the Effective Date through and including April 30, 2020 shall be four and one half percent (4.50%).</w:t>
      </w:r>
    </w:p>
    <w:p>
      <w:pPr>
        <w:spacing w:after="0" w:line="151" w:lineRule="exact"/>
        <w:rPr>
          <w:sz w:val="20"/>
          <w:szCs w:val="20"/>
          <w:color w:val="auto"/>
        </w:rPr>
      </w:pPr>
    </w:p>
    <w:p>
      <w:pPr>
        <w:ind w:left="4" w:right="18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Blocked Person</w:t>
      </w:r>
      <w:r>
        <w:rPr>
          <w:rFonts w:ascii="Arial" w:cs="Arial" w:eastAsia="Arial" w:hAnsi="Arial"/>
          <w:sz w:val="16"/>
          <w:szCs w:val="16"/>
          <w:color w:val="auto"/>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w:t>
      </w:r>
    </w:p>
    <w:p>
      <w:pPr>
        <w:spacing w:after="0" w:line="2" w:lineRule="exact"/>
        <w:rPr>
          <w:sz w:val="20"/>
          <w:szCs w:val="20"/>
          <w:color w:val="auto"/>
        </w:rPr>
      </w:pPr>
    </w:p>
    <w:p>
      <w:pPr>
        <w:ind w:left="4" w:right="380" w:hanging="4"/>
        <w:spacing w:after="0" w:line="290" w:lineRule="auto"/>
        <w:tabs>
          <w:tab w:leader="none" w:pos="259"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57" w:lineRule="exact"/>
        <w:rPr>
          <w:sz w:val="20"/>
          <w:szCs w:val="20"/>
          <w:color w:val="auto"/>
        </w:rPr>
      </w:pPr>
    </w:p>
    <w:p>
      <w:pPr>
        <w:ind w:left="4"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 Value</w:t>
      </w:r>
      <w:r>
        <w:rPr>
          <w:rFonts w:ascii="Arial" w:cs="Arial" w:eastAsia="Arial" w:hAnsi="Arial"/>
          <w:sz w:val="18"/>
          <w:szCs w:val="18"/>
          <w:color w:val="auto"/>
        </w:rPr>
        <w:t>” is, at any date of determination with respect to any asset, the value thereof as the same would be reflected on a balance sheet of Borrower as at such time in accordance with GAAP.</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 w:right="3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 Books</w:t>
      </w:r>
      <w:r>
        <w:rPr>
          <w:rFonts w:ascii="Arial" w:cs="Arial" w:eastAsia="Arial" w:hAnsi="Arial"/>
          <w:sz w:val="18"/>
          <w:szCs w:val="18"/>
          <w:color w:val="auto"/>
        </w:rPr>
        <w:t>” 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Collateral Agent is closed.</w:t>
      </w:r>
    </w:p>
    <w:p>
      <w:pPr>
        <w:spacing w:after="0" w:line="225"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certificates of deposit maturing no more than one (1) year after issue provided that the account in which any such certificate of deposit is maintained is subject to a Control Agreement in favor of Collateral Agent. For the avoidance of doubt, the direct purchase by Borrower or any of its Subsidiaries of any Auction Rate Securities, or purchasing participations in, or entering into any type of swap or other derivative transaction, or otherwise holding or engaging in any ownership interest in any type of Auction Rate Security by Borrower or any of its Subsidiaries shall be conclusively determined by the Lenders as an ineligible Cash Equivalent, and any such transaction shall expressly violate each other provision of this Agreement governing Permitted Investments. Notwithstanding the foregoing, Cash Equivalents does not include and Borrower, and each of its Subsidiaries, are prohibited from purchasing, purchasing participations in, entering into any type of swap or other equivalent derivative transaction, or otherwise holding or engaging in any ownership interest in any type of debt instrument, including, without limitation, any corporate or municipal bonds with a long-term nominal maturity for which the interest rate is reset through a dutch auction and more commonly referred to as an auction rate security (each, an “</w:t>
      </w:r>
      <w:r>
        <w:rPr>
          <w:rFonts w:ascii="Arial" w:cs="Arial" w:eastAsia="Arial" w:hAnsi="Arial"/>
          <w:sz w:val="16"/>
          <w:szCs w:val="16"/>
          <w:b w:val="1"/>
          <w:bCs w:val="1"/>
          <w:color w:val="auto"/>
        </w:rPr>
        <w:t>Auction Rate Security</w:t>
      </w:r>
      <w:r>
        <w:rPr>
          <w:rFonts w:ascii="Arial" w:cs="Arial" w:eastAsia="Arial" w:hAnsi="Arial"/>
          <w:sz w:val="16"/>
          <w:szCs w:val="16"/>
          <w:color w:val="auto"/>
        </w:rPr>
        <w:t>”).</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Charged Property</w:t>
      </w:r>
      <w:r>
        <w:rPr>
          <w:rFonts w:ascii="Arial" w:cs="Arial" w:eastAsia="Arial" w:hAnsi="Arial"/>
          <w:sz w:val="18"/>
          <w:szCs w:val="18"/>
          <w:color w:val="auto"/>
        </w:rPr>
        <w:t>” is defined in the Debentures.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are defined in Section 12.2.</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0" w:right="459" w:bottom="1440" w:gutter="0" w:footer="0" w:header="0"/>
        </w:sectPr>
      </w:pPr>
    </w:p>
    <w:bookmarkStart w:id="41" w:name="page42"/>
    <w:bookmarkEnd w:id="41"/>
    <w:p>
      <w:pPr>
        <w:ind w:right="2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b w:val="1"/>
          <w:bCs w:val="1"/>
          <w:color w:val="auto"/>
        </w:rPr>
        <w:t>Code</w:t>
      </w:r>
      <w:r>
        <w:rPr>
          <w:rFonts w:ascii="Arial" w:cs="Arial" w:eastAsia="Arial" w:hAnsi="Arial"/>
          <w:sz w:val="16"/>
          <w:szCs w:val="16"/>
          <w:color w:val="auto"/>
        </w:rPr>
        <w:t>” is the (a) with respect to 89Bio, 89Bio Management or any assets located in the United States,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 and (b) with respect to 89Bio Israel or any assets located outside of the United States, any applicable law.</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 or any other bank account maintained by Borrower or any Guarantor at any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 Agent</w:t>
      </w:r>
      <w:r>
        <w:rPr>
          <w:rFonts w:ascii="Arial" w:cs="Arial" w:eastAsia="Arial" w:hAnsi="Arial"/>
          <w:sz w:val="17"/>
          <w:szCs w:val="17"/>
          <w:color w:val="auto"/>
        </w:rPr>
        <w:t>” is, SVB, not in its individual capacity, but solely in its capacity as agent on behalf of and for the benefit of the Lenders.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Percentage</w:t>
      </w:r>
      <w:r>
        <w:rPr>
          <w:rFonts w:ascii="Arial" w:cs="Arial" w:eastAsia="Arial" w:hAnsi="Arial"/>
          <w:sz w:val="18"/>
          <w:szCs w:val="18"/>
          <w:color w:val="auto"/>
        </w:rPr>
        <w:t xml:space="preserve">” is set forth in </w:t>
      </w:r>
      <w:r>
        <w:rPr>
          <w:rFonts w:ascii="Arial" w:cs="Arial" w:eastAsia="Arial" w:hAnsi="Arial"/>
          <w:sz w:val="18"/>
          <w:szCs w:val="18"/>
          <w:u w:val="single" w:color="auto"/>
          <w:color w:val="auto"/>
        </w:rPr>
        <w:t>Schedule 1.1</w:t>
      </w:r>
      <w:r>
        <w:rPr>
          <w:rFonts w:ascii="Arial" w:cs="Arial" w:eastAsia="Arial" w:hAnsi="Arial"/>
          <w:sz w:val="18"/>
          <w:szCs w:val="18"/>
          <w:color w:val="auto"/>
        </w:rPr>
        <w:t>,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Commodity Account</w:t>
      </w:r>
      <w:r>
        <w:rPr>
          <w:rFonts w:ascii="Arial" w:cs="Arial" w:eastAsia="Arial" w:hAnsi="Arial"/>
          <w:sz w:val="17"/>
          <w:szCs w:val="17"/>
          <w:color w:val="auto"/>
        </w:rPr>
        <w:t>” is any “commodity account” as defined in the Code with such additions to such term as may hereafter be made.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w:t>
      </w:r>
      <w:r>
        <w:rPr>
          <w:rFonts w:ascii="Arial" w:cs="Arial" w:eastAsia="Arial" w:hAnsi="Arial"/>
          <w:sz w:val="18"/>
          <w:szCs w:val="18"/>
          <w:color w:val="auto"/>
        </w:rPr>
        <w:t>” is defined in Section 10.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Contingent Obligation</w:t>
      </w:r>
      <w:r>
        <w:rPr>
          <w:rFonts w:ascii="Arial" w:cs="Arial" w:eastAsia="Arial" w:hAnsi="Arial"/>
          <w:sz w:val="17"/>
          <w:szCs w:val="17"/>
          <w:color w:val="auto"/>
        </w:rPr>
        <w:t>” is, for any Person, any direct or indirect liability, contingent or not, of that Person for (a) any indebtedness, lease, dividend, letter of credit or other obligation of another such as an obligation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73"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Agreement</w:t>
      </w:r>
      <w:r>
        <w:rPr>
          <w:rFonts w:ascii="Arial" w:cs="Arial" w:eastAsia="Arial" w:hAnsi="Arial"/>
          <w:sz w:val="18"/>
          <w:szCs w:val="18"/>
          <w:color w:val="auto"/>
        </w:rPr>
        <w:t>” is any control agreement entered into among the depository institution at which Borrower or any of its Subsidiaries maintains a Deposit Account or the securities intermediary or commodity intermediary at which Borrower or any of its Subsidiaries maintains a Securities Account or a Commodity Account, Borrower and such Subsidiary which is a Borrower or Guarantor, and Collateral Agent pursuant to which Collateral Agent obtains control (within the meaning of the Code) for the benefit of the Lenders over such Deposit Account, Securities Account, or Commodity Account.</w:t>
      </w:r>
    </w:p>
    <w:p>
      <w:pPr>
        <w:spacing w:after="0" w:line="183"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or authorship and derivative work thereof, whether published or unpublished and whether or not the same also constitutes a trade secret.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Term Loan or any other extension of credit by Collateral Agent or Lenders for Borrower’s benefit.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0" w:right="479" w:bottom="1440" w:gutter="0" w:footer="0" w:header="0"/>
        </w:sectPr>
      </w:pPr>
    </w:p>
    <w:bookmarkStart w:id="42" w:name="page43"/>
    <w:bookmarkEnd w:id="4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Debenture</w:t>
      </w:r>
      <w:r>
        <w:rPr>
          <w:rFonts w:ascii="Arial" w:cs="Arial" w:eastAsia="Arial" w:hAnsi="Arial"/>
          <w:sz w:val="18"/>
          <w:szCs w:val="18"/>
          <w:color w:val="auto"/>
        </w:rPr>
        <w:t>” and “</w:t>
      </w:r>
      <w:r>
        <w:rPr>
          <w:rFonts w:ascii="Arial" w:cs="Arial" w:eastAsia="Arial" w:hAnsi="Arial"/>
          <w:sz w:val="18"/>
          <w:szCs w:val="18"/>
          <w:b w:val="1"/>
          <w:bCs w:val="1"/>
          <w:color w:val="auto"/>
        </w:rPr>
        <w:t>Debentures</w:t>
      </w:r>
      <w:r>
        <w:rPr>
          <w:rFonts w:ascii="Arial" w:cs="Arial" w:eastAsia="Arial" w:hAnsi="Arial"/>
          <w:sz w:val="18"/>
          <w:szCs w:val="18"/>
          <w:color w:val="auto"/>
        </w:rPr>
        <w:t>” are defined in Section 4.4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2.3(b).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Deposit Account</w:t>
      </w:r>
      <w:r>
        <w:rPr>
          <w:rFonts w:ascii="Arial" w:cs="Arial" w:eastAsia="Arial" w:hAnsi="Arial"/>
          <w:sz w:val="18"/>
          <w:szCs w:val="18"/>
          <w:color w:val="auto"/>
        </w:rPr>
        <w:t>” is 89Bio’s deposit account, account number xxxxxx6331, maintained with Bank.</w:t>
      </w:r>
    </w:p>
    <w:p>
      <w:pPr>
        <w:spacing w:after="0" w:line="225" w:lineRule="exact"/>
        <w:rPr>
          <w:sz w:val="20"/>
          <w:szCs w:val="20"/>
          <w:color w:val="auto"/>
        </w:rPr>
      </w:pPr>
    </w:p>
    <w:p>
      <w:pPr>
        <w:jc w:val="both"/>
        <w:ind w:right="24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 Equivalent</w:t>
      </w:r>
      <w:r>
        <w:rPr>
          <w:rFonts w:ascii="Arial" w:cs="Arial" w:eastAsia="Arial" w:hAnsi="Arial"/>
          <w:sz w:val="16"/>
          <w:szCs w:val="16"/>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and “$” each mean lawful money of the United States.</w:t>
      </w:r>
    </w:p>
    <w:p>
      <w:pPr>
        <w:spacing w:after="0" w:line="225"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 Period</w:t>
      </w:r>
      <w:r>
        <w:rPr>
          <w:rFonts w:ascii="Arial" w:cs="Arial" w:eastAsia="Arial" w:hAnsi="Arial"/>
          <w:sz w:val="18"/>
          <w:szCs w:val="18"/>
          <w:color w:val="auto"/>
        </w:rPr>
        <w:t>” is the period commencing on the Effective Date and ending on the earlier of (i) March 31, 2021, and (ii) the occurrence of an Event of Default.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Assignee</w:t>
      </w:r>
      <w:r>
        <w:rPr>
          <w:rFonts w:ascii="Arial" w:cs="Arial" w:eastAsia="Arial" w:hAnsi="Arial"/>
          <w:sz w:val="17"/>
          <w:szCs w:val="17"/>
          <w:color w:val="auto"/>
        </w:rPr>
        <w:t>” is (i) a Lender, (ii) an Affiliate of a Lender, (iii) an Approved Fund and (iv) any commercial bank, savings and loan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association or savings bank or any other entity which is an “accredited investor” (as defined in Regulation D under the Securities Act of 1933,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amended) and which extends credit or buys loans as one of its businesses, including insurance companies, mutual funds, lease financing companies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 finance companies, in each case, which either (A) has a rating of BBB or higher from Standard &amp; Poor’s Rating Group and a rating of Baa2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higher from Moody’s Investors Service, Inc. at the date that it becomes a Lender or (B) has total assets in excess of Five Billion Dollars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($5,000,000,000.00), and in each case of clauses (i) through (iv), which, through its applicable lending office, is capable of lending to Borrower without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imposition of any withholding or similar taxes; provided that notwithstanding the foregoing, “Eligible Assignee” shall not include, unless an Event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Default has occurred and is continuing, (i) Borrower or any of Borrower’s Affiliates or Subsidiaries or (ii) a direct competitor of Borrower or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vulture hedge fund, each as determined by Collateral Agent. Notwithstanding the foregoing, (x) in connection with assignments by a Lender due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forced divestiture at the request of any regulatory agency, the restrictions set forth herein shall not apply and Eligible Assignee shall mean any Person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party and (y) in connection with a Lender’s own financing or securitization transactions, the restrictions set forth herein shall not apply and Eligible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Assignee shall mean any Person or party providing such financing or formed to undertake such securitization transaction and any transferee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 or party upon the occurrence of a default, event of default or similar occurrence with respect to such financing or securitization transaction;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provided that no such sale, transfer, pledge or assignment under this clause (y) shall release such Lender from any of its obligations hereunder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substitute any such Person or party for such Lender as a party hereto until Collateral Agent shall have received and accepted an effective assignment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from such Person or party in form satisfactory to Collateral Agent executed, delivered and fully completed by the applicable parties thereto,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shall have received such other information regarding such Eligible Assignee as Collateral Agent reasonably shall require.</w:t>
      </w:r>
    </w:p>
    <w:p>
      <w:pPr>
        <w:spacing w:after="0" w:line="207" w:lineRule="exact"/>
        <w:rPr>
          <w:sz w:val="20"/>
          <w:szCs w:val="20"/>
          <w:color w:val="auto"/>
        </w:rPr>
      </w:pPr>
    </w:p>
    <w:p>
      <w:pPr>
        <w:ind w:right="64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Equipment</w:t>
      </w:r>
      <w:r>
        <w:rPr>
          <w:rFonts w:ascii="Arial" w:cs="Arial" w:eastAsia="Arial" w:hAnsi="Arial"/>
          <w:sz w:val="17"/>
          <w:szCs w:val="17"/>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as amended, and its regulations.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Deposit Accounts</w:t>
      </w:r>
      <w:r>
        <w:rPr>
          <w:rFonts w:ascii="Arial" w:cs="Arial" w:eastAsia="Arial" w:hAnsi="Arial"/>
          <w:sz w:val="18"/>
          <w:szCs w:val="18"/>
          <w:color w:val="auto"/>
        </w:rPr>
        <w:t>” means those deposit accounts described in the last sentence of Section 6.6(b).</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0" w:right="499" w:bottom="1440" w:gutter="0" w:footer="0" w:header="0"/>
        </w:sectPr>
      </w:pPr>
    </w:p>
    <w:bookmarkStart w:id="43" w:name="page44"/>
    <w:bookmarkEnd w:id="43"/>
    <w:p>
      <w:pPr>
        <w:ind w:right="22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b w:val="1"/>
          <w:bCs w:val="1"/>
          <w:color w:val="auto"/>
        </w:rPr>
        <w:t>Final Payment</w:t>
      </w:r>
      <w:r>
        <w:rPr>
          <w:rFonts w:ascii="Arial" w:cs="Arial" w:eastAsia="Arial" w:hAnsi="Arial"/>
          <w:sz w:val="16"/>
          <w:szCs w:val="16"/>
          <w:color w:val="auto"/>
        </w:rPr>
        <w:t>” is a payment (in addition to and not a substitution for the regular monthly payments of principal plus accrued interest) due on the earliest to occur of (a) the Maturity Date, or (b) the acceleration of any Term Loan, or (c) the prepayment of a Term Loan pursuant to</w:t>
      </w:r>
    </w:p>
    <w:p>
      <w:pPr>
        <w:spacing w:after="0" w:line="1"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Section 2.2(c) or (d), equal to the original principal amount of such Term Loan multiplied by the Final Payment Percentage, payable to Lenders in accordance with their respective Pro Rata Shares.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 Percentage</w:t>
      </w:r>
      <w:r>
        <w:rPr>
          <w:rFonts w:ascii="Arial" w:cs="Arial" w:eastAsia="Arial" w:hAnsi="Arial"/>
          <w:sz w:val="18"/>
          <w:szCs w:val="18"/>
          <w:color w:val="auto"/>
        </w:rPr>
        <w:t>” is five percent (5.00%).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is a Subsidiary that is not an entity organized under the laws of the United States or any territory thereof.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on account of Borrower which shall be a Business Day.</w:t>
      </w:r>
    </w:p>
    <w:p>
      <w:pPr>
        <w:spacing w:after="0" w:line="225"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Contract</w:t>
      </w:r>
      <w:r>
        <w:rPr>
          <w:rFonts w:ascii="Arial" w:cs="Arial" w:eastAsia="Arial" w:hAnsi="Arial"/>
          <w:sz w:val="18"/>
          <w:szCs w:val="18"/>
          <w:color w:val="auto"/>
        </w:rPr>
        <w:t>” is any foreign exchange contract by and between a Borrower and Bank under which such Borrower commits to purchase from or sell to Bank a specific amount of Foreign Currency on a specified date.</w:t>
      </w:r>
    </w:p>
    <w:p>
      <w:pPr>
        <w:spacing w:after="0" w:line="162"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spacing w:after="0" w:line="180"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General Intangibles</w:t>
      </w:r>
      <w:r>
        <w:rPr>
          <w:rFonts w:ascii="Arial" w:cs="Arial" w:eastAsia="Arial" w:hAnsi="Arial"/>
          <w:sz w:val="17"/>
          <w:szCs w:val="17"/>
          <w:color w:val="auto"/>
        </w:rPr>
        <w:t>” are all “general intangibles” as defined in the Code in effect on the date hereof with such additions to such term as may hereafter be made,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Faith Deposit</w:t>
      </w:r>
      <w:r>
        <w:rPr>
          <w:rFonts w:ascii="Arial" w:cs="Arial" w:eastAsia="Arial" w:hAnsi="Arial"/>
          <w:sz w:val="18"/>
          <w:szCs w:val="18"/>
          <w:color w:val="auto"/>
        </w:rPr>
        <w:t>” is defined in Section 2.5(d).</w:t>
      </w:r>
    </w:p>
    <w:p>
      <w:pPr>
        <w:spacing w:after="0" w:line="225"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Collateral Agent.</w:t>
      </w:r>
    </w:p>
    <w:p>
      <w:pPr>
        <w:spacing w:after="0" w:line="225"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0" w:right="459" w:bottom="1440" w:gutter="0" w:footer="0" w:header="0"/>
        </w:sectPr>
      </w:pPr>
    </w:p>
    <w:bookmarkStart w:id="44" w:name="page45"/>
    <w:bookmarkEnd w:id="4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12.2.</w:t>
      </w:r>
    </w:p>
    <w:p>
      <w:pPr>
        <w:spacing w:after="0" w:line="225" w:lineRule="exact"/>
        <w:rPr>
          <w:sz w:val="20"/>
          <w:szCs w:val="20"/>
          <w:color w:val="auto"/>
        </w:rPr>
      </w:pPr>
    </w:p>
    <w:p>
      <w:pPr>
        <w:ind w:right="4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Insolvency Proceeding</w:t>
      </w:r>
      <w:r>
        <w:rPr>
          <w:rFonts w:ascii="Arial" w:cs="Arial" w:eastAsia="Arial" w:hAnsi="Arial"/>
          <w:sz w:val="16"/>
          <w:szCs w:val="16"/>
          <w:color w:val="auto"/>
        </w:rPr>
        <w:t>” is any proceeding by or against any Person under the United States Bankruptcy Code , the Israeli Insolvency and Economic Rehabilitation Law 5788-2018 and any applicable proceedings relating to bankruptcy, insolvency, creditors arrangements etc. under the Israeli Companies Ordinance 5743-1983 or the Israeli Companies Law 5759-1999 or any other bankruptcy or insolvency law, including assignments for the benefit of creditors, compositions, extensions generally with its creditors, or proceedings seeking reorganization, arrangement, or other relief.</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means not Solvent.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of Borrower’s or any Subsidiary’s right, title and interest in and to the following:</w:t>
      </w:r>
    </w:p>
    <w:p>
      <w:pPr>
        <w:spacing w:after="0" w:line="121" w:lineRule="exact"/>
        <w:rPr>
          <w:sz w:val="20"/>
          <w:szCs w:val="20"/>
          <w:color w:val="auto"/>
        </w:rPr>
      </w:pPr>
    </w:p>
    <w:p>
      <w:pPr>
        <w:ind w:left="1240" w:hanging="253"/>
        <w:spacing w:after="0"/>
        <w:tabs>
          <w:tab w:leader="none" w:pos="12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and all trade secrets and trade secret rights, including, without limitation, any rights to unpatented inventions, know-how,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manuals;</w:t>
      </w:r>
    </w:p>
    <w:p>
      <w:pPr>
        <w:spacing w:after="0" w:line="103" w:lineRule="exact"/>
        <w:rPr>
          <w:sz w:val="20"/>
          <w:szCs w:val="20"/>
          <w:color w:val="auto"/>
        </w:rPr>
      </w:pPr>
    </w:p>
    <w:p>
      <w:pPr>
        <w:ind w:left="1240" w:hanging="253"/>
        <w:spacing w:after="0"/>
        <w:tabs>
          <w:tab w:leader="none" w:pos="1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Borrower;</w:t>
      </w:r>
    </w:p>
    <w:p>
      <w:pPr>
        <w:spacing w:after="0" w:line="117" w:lineRule="exact"/>
        <w:rPr>
          <w:rFonts w:ascii="Arial" w:cs="Arial" w:eastAsia="Arial" w:hAnsi="Arial"/>
          <w:sz w:val="18"/>
          <w:szCs w:val="18"/>
          <w:color w:val="auto"/>
        </w:rPr>
      </w:pPr>
    </w:p>
    <w:p>
      <w:pPr>
        <w:ind w:right="420" w:firstLine="987"/>
        <w:spacing w:after="0" w:line="308" w:lineRule="auto"/>
        <w:tabs>
          <w:tab w:leader="none" w:pos="1236"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38" w:lineRule="exact"/>
        <w:rPr>
          <w:rFonts w:ascii="Arial" w:cs="Arial" w:eastAsia="Arial" w:hAnsi="Arial"/>
          <w:sz w:val="17"/>
          <w:szCs w:val="17"/>
          <w:color w:val="auto"/>
        </w:rPr>
      </w:pPr>
    </w:p>
    <w:p>
      <w:pPr>
        <w:ind w:left="1220" w:hanging="233"/>
        <w:spacing w:after="0"/>
        <w:tabs>
          <w:tab w:leader="none" w:pos="1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21"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Intercompany Services Agreement</w:t>
      </w:r>
      <w:r>
        <w:rPr>
          <w:rFonts w:ascii="Arial" w:cs="Arial" w:eastAsia="Arial" w:hAnsi="Arial"/>
          <w:sz w:val="18"/>
          <w:szCs w:val="18"/>
          <w:color w:val="auto"/>
        </w:rPr>
        <w:t>” means the Intercompany Services Agreement dated as of January 7, 2019 between 89bio Israel and 89bio Lithuania, as such agreement may be amended, modified, supplemented, amended and restated and replaced, in each case so long as the terms thereof are not adverse to Borrower, the Collateral Agent or the Lenders in any respect compared to such Intercompany Services Agreement as in effect as of the Effective Date.</w:t>
      </w:r>
    </w:p>
    <w:p>
      <w:pPr>
        <w:spacing w:after="0" w:line="180"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180"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payment or capital contribution to any Person.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Policy</w:t>
      </w:r>
      <w:r>
        <w:rPr>
          <w:rFonts w:ascii="Arial" w:cs="Arial" w:eastAsia="Arial" w:hAnsi="Arial"/>
          <w:sz w:val="18"/>
          <w:szCs w:val="18"/>
          <w:color w:val="auto"/>
        </w:rPr>
        <w:t>” is the Corporate Investment Policy of 89Bio delivered to the Collateral Agent prior to the date hereof.</w:t>
      </w:r>
    </w:p>
    <w:p>
      <w:pPr>
        <w:spacing w:after="0" w:line="225" w:lineRule="exact"/>
        <w:rPr>
          <w:sz w:val="20"/>
          <w:szCs w:val="20"/>
          <w:color w:val="auto"/>
        </w:rPr>
      </w:pPr>
    </w:p>
    <w:p>
      <w:pPr>
        <w:ind w:right="5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89Bio’s and 89Bio Israel’s (i) Chief Executive Officer, who is Rohan Palekar as of the Effective Date, (ii) Chief Financial Officer, who is Ryan Martins as of the Effective Date, (iii) Chief Operating Office, who is Ram Waisbourd as of the Effective Date, and (iii) Chief Medical Officer, who is Hank Mansbach as of the Effective Date.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is any one of the Lenders.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0" w:right="479" w:bottom="1440" w:gutter="0" w:footer="0" w:header="0"/>
        </w:sectPr>
      </w:pPr>
    </w:p>
    <w:bookmarkStart w:id="45" w:name="page46"/>
    <w:bookmarkEnd w:id="4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Lenders</w:t>
      </w:r>
      <w:r>
        <w:rPr>
          <w:rFonts w:ascii="Arial" w:cs="Arial" w:eastAsia="Arial" w:hAnsi="Arial"/>
          <w:sz w:val="16"/>
          <w:szCs w:val="16"/>
          <w:color w:val="auto"/>
        </w:rPr>
        <w:t xml:space="preserve">” are the Persons identified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hereto and each assignee that becomes a party to this Agreement pursuant to Section 12.1.</w:t>
      </w:r>
    </w:p>
    <w:p>
      <w:pPr>
        <w:spacing w:after="0" w:line="248" w:lineRule="exact"/>
        <w:rPr>
          <w:sz w:val="20"/>
          <w:szCs w:val="20"/>
          <w:color w:val="auto"/>
        </w:rPr>
      </w:pPr>
    </w:p>
    <w:p>
      <w:pPr>
        <w:ind w:right="22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Lenders’ Expenses</w:t>
      </w:r>
      <w:r>
        <w:rPr>
          <w:rFonts w:ascii="Arial" w:cs="Arial" w:eastAsia="Arial" w:hAnsi="Arial"/>
          <w:sz w:val="16"/>
          <w:szCs w:val="16"/>
          <w:color w:val="auto"/>
        </w:rPr>
        <w:t>” are all reasonable audit fees and expenses, costs, and expenses (including reasonable and documented out-of-pocket attorneys’ fees and expenses, as well as appraisal fees, fees incurred on account of lien searches, inspection fees, and filing fees) for preparing, amending, negotiating, administering, defending and enforcing the Loan Documents (including, without limitation, those incurred in connection with appeals or Insolvency Proceedings) or otherwise incurred by Collateral Agent and/or the Lenders in connection with the Loan Documents.</w:t>
      </w:r>
    </w:p>
    <w:p>
      <w:pPr>
        <w:spacing w:after="0" w:line="151"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xml:space="preserve"> is a standby or commercial letter of credit issued by Bank upon request of Borrower based upon an application, guarantee, indemnity, or similar agreement.</w:t>
      </w:r>
    </w:p>
    <w:p>
      <w:pPr>
        <w:spacing w:after="0" w:line="162"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Lithuanian Subsidiary Investments</w:t>
      </w:r>
      <w:r>
        <w:rPr>
          <w:rFonts w:ascii="Arial" w:cs="Arial" w:eastAsia="Arial" w:hAnsi="Arial"/>
          <w:sz w:val="17"/>
          <w:szCs w:val="17"/>
          <w:color w:val="auto"/>
        </w:rPr>
        <w:t>” are cash contributions made by any Borrower to 89bio Lithuania for the payment of supplier invoices in the ordinary course of business and to pay any additional amounts owed to 89bio Lithuania pursuant to the transfer pricing arrangements set forth in the Intercompany Services Agreement; provided that the aggregate amount of cash contributions made to 89bio Lithuania during any fiscal year shall not exceed an aggregate amount of Three Million Seven Hundred Thousand Dollars ($3,700,000.00).</w:t>
      </w:r>
    </w:p>
    <w:p>
      <w:pPr>
        <w:spacing w:after="0" w:line="16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the Warrants, the Debentures, the Perfection Certificates, Officer Certificate, Insurance Certificate, each Compliance Certificate, each Loan Payment/Advance Request Form and any Bank Services Agreement, the Post Closing Letter, any subordination agreements,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Payment/Advance Request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Change</w:t>
      </w:r>
      <w:r>
        <w:rPr>
          <w:rFonts w:ascii="Arial" w:cs="Arial" w:eastAsia="Arial" w:hAnsi="Arial"/>
          <w:sz w:val="17"/>
          <w:szCs w:val="17"/>
          <w:color w:val="auto"/>
        </w:rPr>
        <w:t xml:space="preserve">” is (a) a material impairment in the perfection or priority of Collateral Agent’s Lien in the Collateral or in the value of such Collateral; (b) a material adverse change in the business, operations or condition (financial or otherwise) of Borrower or Borrower and its Subsidiaries taken as a whole; or (c) a material impairment of the prospect of repayment of any portion of the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Material Adverse Change shall be deemed to have occurred with respect to 89Bio Management following the transfer of all or substantially all of the assets of 89Bio Management to another Borrower as permitted under Sections 7.1, 7.2 or 7.3.</w:t>
      </w:r>
    </w:p>
    <w:p>
      <w:pPr>
        <w:spacing w:after="0" w:line="168" w:lineRule="exact"/>
        <w:rPr>
          <w:sz w:val="20"/>
          <w:szCs w:val="20"/>
          <w:color w:val="auto"/>
        </w:rPr>
      </w:pPr>
    </w:p>
    <w:p>
      <w:pPr>
        <w:ind w:right="9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is November 1, 2022; provided, however, if the Term B Loan is funded, then the Maturity Date shall be extended to September 1, 2023.</w:t>
      </w:r>
    </w:p>
    <w:p>
      <w:pPr>
        <w:spacing w:after="0" w:line="162" w:lineRule="exact"/>
        <w:rPr>
          <w:sz w:val="20"/>
          <w:szCs w:val="20"/>
          <w:color w:val="auto"/>
        </w:rPr>
      </w:pPr>
    </w:p>
    <w:p>
      <w:pPr>
        <w:ind w:right="80"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are all of Borrower’s obligations to pay when due any debts, principal, interest, Lenders’ Expenses, the Prepayment Fee, the Final Payment, and other amounts Borrower owes the Lenders now or later, in connection with, related to, following, or arising from, out of or under, this Agreement or, the other Loan Documents (other than the Warrants), including, without limitation, all obligations relating to letters of credit (including reimbursement obligations for drawn and undrawn letters of credit), cash management services, and foreign exchange contracts, if any, and including interest accruing after Insolvency Proceedings begin (whether or not allowed) and debts, liabilities, or obligations of Borrower assigned to the Lenders and/or Collateral Agent, and the performance of Borrower’s duties under the Loan Documents (other than the Warrants).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is the U.S. Department of Treasury Office of Foreign Assets Control.</w:t>
      </w:r>
    </w:p>
    <w:p>
      <w:pPr>
        <w:spacing w:after="0" w:line="225" w:lineRule="exact"/>
        <w:rPr>
          <w:sz w:val="20"/>
          <w:szCs w:val="20"/>
          <w:color w:val="auto"/>
        </w:rPr>
      </w:pPr>
    </w:p>
    <w:p>
      <w:pPr>
        <w:jc w:val="both"/>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 Lists</w:t>
      </w:r>
      <w:r>
        <w:rPr>
          <w:rFonts w:ascii="Arial" w:cs="Arial" w:eastAsia="Arial" w:hAnsi="Arial"/>
          <w:sz w:val="18"/>
          <w:szCs w:val="18"/>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40" w:top="270" w:right="499" w:bottom="1440" w:gutter="0" w:footer="0" w:header="0"/>
        </w:sectPr>
      </w:pPr>
    </w:p>
    <w:bookmarkStart w:id="46" w:name="page47"/>
    <w:bookmarkEnd w:id="46"/>
    <w:p>
      <w:pPr>
        <w:ind w:right="60" w:firstLine="4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Operating Documents</w:t>
      </w:r>
      <w:r>
        <w:rPr>
          <w:rFonts w:ascii="Arial" w:cs="Arial" w:eastAsia="Arial" w:hAnsi="Arial"/>
          <w:sz w:val="18"/>
          <w:szCs w:val="18"/>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83" w:lineRule="exact"/>
        <w:rPr>
          <w:sz w:val="20"/>
          <w:szCs w:val="20"/>
          <w:color w:val="auto"/>
        </w:rPr>
      </w:pPr>
    </w:p>
    <w:p>
      <w:pPr>
        <w:ind w:right="6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w:t>
      </w:r>
      <w:r>
        <w:rPr>
          <w:rFonts w:ascii="Arial" w:cs="Arial" w:eastAsia="Arial" w:hAnsi="Arial"/>
          <w:sz w:val="15"/>
          <w:szCs w:val="15"/>
          <w:color w:val="auto"/>
        </w:rPr>
        <w:t>st</w:t>
      </w:r>
      <w:r>
        <w:rPr>
          <w:rFonts w:ascii="Arial" w:cs="Arial" w:eastAsia="Arial" w:hAnsi="Arial"/>
          <w:sz w:val="18"/>
          <w:szCs w:val="18"/>
          <w:color w:val="auto"/>
        </w:rPr>
        <w:t>) calendar day of each calendar month, commencing on May 1, 2020.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and “</w:t>
      </w:r>
      <w:r>
        <w:rPr>
          <w:rFonts w:ascii="Arial" w:cs="Arial" w:eastAsia="Arial" w:hAnsi="Arial"/>
          <w:sz w:val="18"/>
          <w:szCs w:val="18"/>
          <w:b w:val="1"/>
          <w:bCs w:val="1"/>
          <w:color w:val="auto"/>
        </w:rPr>
        <w:t>Perfection Certificates</w:t>
      </w:r>
      <w:r>
        <w:rPr>
          <w:rFonts w:ascii="Arial" w:cs="Arial" w:eastAsia="Arial" w:hAnsi="Arial"/>
          <w:sz w:val="18"/>
          <w:szCs w:val="18"/>
          <w:color w:val="auto"/>
        </w:rPr>
        <w:t>” is defined in Section 5.1.</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means an acquisition pursuant to which Borrower acquires a Person, an ownership interest in a Person, or some or all of the assets of such Person through either (i) the payment of cash consideration of no more than One Million Dollars ($1,000,000.00) with respect to any one acquisition and in the aggregate per fiscal year, or (ii) the issuance of Borrower’s capital stock, so long as the number of shares or the voting power of Borrower’s capital stock issued with respect to any one Person is less than twenty percent (20%) of the total shares or voting power of Borrower’s capital stock outstanding before the issuance; provided that the aforementioned percentage shall apply with respect to any one acquisition and all acquisitions in the aggregate per fiscal year and shall be determined as of the date of each such acquisition and such percentages shall be added together for the determination of the aggregate percentage per fiscal year, in each case to the extent that each of the following conditions shall have been satisfied:</w:t>
      </w:r>
    </w:p>
    <w:p>
      <w:pPr>
        <w:spacing w:after="0" w:line="88" w:lineRule="exact"/>
        <w:rPr>
          <w:sz w:val="20"/>
          <w:szCs w:val="20"/>
          <w:color w:val="auto"/>
        </w:rPr>
      </w:pPr>
    </w:p>
    <w:p>
      <w:pPr>
        <w:ind w:left="680" w:hanging="244"/>
        <w:spacing w:after="0"/>
        <w:tabs>
          <w:tab w:leader="none" w:pos="6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immediately prior to, and after giving effect thereto, no Event of Default shall have occurred and be continuing or would result therefrom;</w:t>
      </w:r>
    </w:p>
    <w:p>
      <w:pPr>
        <w:spacing w:after="0" w:line="128" w:lineRule="exact"/>
        <w:rPr>
          <w:rFonts w:ascii="Arial" w:cs="Arial" w:eastAsia="Arial" w:hAnsi="Arial"/>
          <w:sz w:val="17"/>
          <w:szCs w:val="17"/>
          <w:color w:val="auto"/>
        </w:rPr>
      </w:pPr>
    </w:p>
    <w:p>
      <w:pPr>
        <w:ind w:left="700" w:hanging="264"/>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transactions in connection therewith shall be consummated, in all material respects, in accordance with applicable law;</w:t>
      </w:r>
    </w:p>
    <w:p>
      <w:pPr>
        <w:spacing w:after="0" w:line="117" w:lineRule="exact"/>
        <w:rPr>
          <w:rFonts w:ascii="Arial" w:cs="Arial" w:eastAsia="Arial" w:hAnsi="Arial"/>
          <w:sz w:val="18"/>
          <w:szCs w:val="18"/>
          <w:color w:val="auto"/>
        </w:rPr>
      </w:pPr>
    </w:p>
    <w:p>
      <w:pPr>
        <w:ind w:right="80" w:firstLine="436"/>
        <w:spacing w:after="0" w:line="277" w:lineRule="auto"/>
        <w:tabs>
          <w:tab w:leader="none" w:pos="685"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acquired Person or assets shall be in the same line of business as is conducted by Borrower as of the Effective Date (or a line of business reasonably related thereto);</w:t>
      </w:r>
    </w:p>
    <w:p>
      <w:pPr>
        <w:spacing w:after="0" w:line="62" w:lineRule="exact"/>
        <w:rPr>
          <w:rFonts w:ascii="Arial" w:cs="Arial" w:eastAsia="Arial" w:hAnsi="Arial"/>
          <w:sz w:val="18"/>
          <w:szCs w:val="18"/>
          <w:color w:val="auto"/>
        </w:rPr>
      </w:pPr>
    </w:p>
    <w:p>
      <w:pPr>
        <w:ind w:right="160" w:firstLine="436"/>
        <w:spacing w:after="0" w:line="277" w:lineRule="auto"/>
        <w:tabs>
          <w:tab w:leader="none" w:pos="6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acquisition shall not cause the focus of Borrower’s and its Subsidiaries’ operations (when taken as a whole) to be located outside of the United States;</w:t>
      </w:r>
    </w:p>
    <w:p>
      <w:pPr>
        <w:spacing w:after="0" w:line="62" w:lineRule="exact"/>
        <w:rPr>
          <w:rFonts w:ascii="Arial" w:cs="Arial" w:eastAsia="Arial" w:hAnsi="Arial"/>
          <w:sz w:val="18"/>
          <w:szCs w:val="18"/>
          <w:color w:val="auto"/>
        </w:rPr>
      </w:pPr>
    </w:p>
    <w:p>
      <w:pPr>
        <w:ind w:right="180" w:firstLine="436"/>
        <w:spacing w:after="0" w:line="277" w:lineRule="auto"/>
        <w:tabs>
          <w:tab w:leader="none" w:pos="685"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case of the purchase or other acquisition of Shares, all of the Shares acquired or otherwise issued by such Person or any newly formed Subsidiary in connection with such acquisition shall be wholly owned by Borrower or a Subsidiary;</w:t>
      </w:r>
    </w:p>
    <w:p>
      <w:pPr>
        <w:spacing w:after="0" w:line="62" w:lineRule="exact"/>
        <w:rPr>
          <w:rFonts w:ascii="Arial" w:cs="Arial" w:eastAsia="Arial" w:hAnsi="Arial"/>
          <w:sz w:val="18"/>
          <w:szCs w:val="18"/>
          <w:color w:val="auto"/>
        </w:rPr>
      </w:pPr>
    </w:p>
    <w:p>
      <w:pPr>
        <w:ind w:right="440" w:firstLine="436"/>
        <w:spacing w:after="0" w:line="277" w:lineRule="auto"/>
        <w:tabs>
          <w:tab w:leader="none" w:pos="665"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acquisition, neither Borrower nor any of its Subsidiaries (including for this purpose, the target of the acquisition) shall acquire or be subject to any Indebtedness or Liens that are not otherwise permitted hereunder;</w:t>
      </w:r>
    </w:p>
    <w:p>
      <w:pPr>
        <w:spacing w:after="0" w:line="62" w:lineRule="exact"/>
        <w:rPr>
          <w:rFonts w:ascii="Arial" w:cs="Arial" w:eastAsia="Arial" w:hAnsi="Arial"/>
          <w:sz w:val="18"/>
          <w:szCs w:val="18"/>
          <w:color w:val="auto"/>
        </w:rPr>
      </w:pPr>
    </w:p>
    <w:p>
      <w:pPr>
        <w:ind w:right="20" w:firstLine="436"/>
        <w:spacing w:after="0" w:line="273" w:lineRule="auto"/>
        <w:tabs>
          <w:tab w:leader="none" w:pos="695" w:val="left"/>
        </w:tabs>
        <w:numPr>
          <w:ilvl w:val="0"/>
          <w:numId w:val="72"/>
        </w:numPr>
        <w:rPr>
          <w:rFonts w:ascii="Arial" w:cs="Arial" w:eastAsia="Arial" w:hAnsi="Arial"/>
          <w:sz w:val="17"/>
          <w:szCs w:val="17"/>
          <w:color w:val="auto"/>
        </w:rPr>
      </w:pPr>
      <w:r>
        <w:rPr>
          <w:rFonts w:ascii="Arial" w:cs="Arial" w:eastAsia="Arial" w:hAnsi="Arial"/>
          <w:sz w:val="17"/>
          <w:szCs w:val="17"/>
          <w:color w:val="auto"/>
        </w:rPr>
        <w:t>Borrower shall have delivered to the Collateral Agent and Lenders at least five (5) Business Days (or such shorter period as may be acceptable to Collateral Agent and Lenders) prior to such proposed acquisition (i) a copy of the purchase agreement related to the proposed acquisition (and any related documents reasonably requested by the Collateral Agent and Lenders), (ii) a general description of the acquired assets or acquired business line or unit or division and the competitive position of such business line or unit or division within the industry, (iii) the sources and uses of funds to finance the proposed acquisition, and (iv) to the extent available, quarterly and annual audited financial statements of the Person whose Shares or assets are being acquired for the twelve (12) month period immediately prior to such proposed acquisition;</w:t>
      </w:r>
    </w:p>
    <w:p>
      <w:pPr>
        <w:spacing w:after="0" w:line="69" w:lineRule="exact"/>
        <w:rPr>
          <w:rFonts w:ascii="Arial" w:cs="Arial" w:eastAsia="Arial" w:hAnsi="Arial"/>
          <w:sz w:val="17"/>
          <w:szCs w:val="17"/>
          <w:color w:val="auto"/>
        </w:rPr>
      </w:pPr>
    </w:p>
    <w:p>
      <w:pPr>
        <w:ind w:left="700" w:hanging="264"/>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Permitted Acquisition shall only involve assets located in the United States;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440" w:top="270" w:right="499" w:bottom="1440" w:gutter="0" w:footer="0" w:header="0"/>
        </w:sectPr>
      </w:pPr>
    </w:p>
    <w:bookmarkStart w:id="47" w:name="page48"/>
    <w:bookmarkEnd w:id="47"/>
    <w:p>
      <w:pPr>
        <w:ind w:left="4" w:right="120" w:firstLine="436"/>
        <w:spacing w:after="0" w:line="286" w:lineRule="auto"/>
        <w:tabs>
          <w:tab w:leader="none" w:pos="659" w:val="left"/>
        </w:tabs>
        <w:numPr>
          <w:ilvl w:val="0"/>
          <w:numId w:val="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Collateral Agent and the Lenders have received a certificate from a Responsible Officer together with Board approved projections certifying and setting forth in reasonable detail that Borrower has enough cash on hand to pay its projected expenses and all debt service when due for a period of twelve (12) months after the consummation of such transaction (after giving effect to such transaction); and</w:t>
      </w:r>
    </w:p>
    <w:p>
      <w:pPr>
        <w:spacing w:after="0" w:line="57" w:lineRule="exact"/>
        <w:rPr>
          <w:rFonts w:ascii="Arial" w:cs="Arial" w:eastAsia="Arial" w:hAnsi="Arial"/>
          <w:sz w:val="17"/>
          <w:szCs w:val="17"/>
          <w:color w:val="auto"/>
        </w:rPr>
      </w:pPr>
    </w:p>
    <w:p>
      <w:pPr>
        <w:ind w:left="664" w:hanging="224"/>
        <w:spacing w:after="0"/>
        <w:tabs>
          <w:tab w:leader="none" w:pos="664"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Permitted Acquisition shall be consensual and shall have been approved by the target’s board of directors.</w:t>
      </w:r>
    </w:p>
    <w:p>
      <w:pPr>
        <w:spacing w:after="0" w:line="225"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Notwithstanding anything to the contrary contained herein, in order for any acquisition of Shares or assets of another Person to constitute a Permitted Acquisition, Borrower must comply with all of the following: (a) within five (5) Business Days of the closing of such Permitted Acquisition, the applicable Borrower (or Subsidiary) making such Permitted Acquisition and the target shall have executed such documents and taken such actions as may be required under Section 6.12; (b) the applicable Borrower shall have delivered to Collateral Agent and Lenders, in form and substance satisfactory to the Collateral Agent and Lenders and sufficiently in advance (and in any case no later than five (5) Business Days prior to such Permitted Acquisition), such other financial information, financial analysis, documentation or other information relating to such Permitted Acquisition and the pro forma certifications required by clause (c) below, in each case, as Collateral Agent and Lenders shall reasonably request; (c) on or prior to the date of such Permitted Acquisition, the Collateral Agent and Lenders shall have received, in form and substance reasonably satisfactory to the Collateral Agent and Lenders, a certificate of the chief financial officer of Borrower certifying compliance with the requirements contained in this definition of “Permitted Acquisition” and with the other terms of the Loan Documents (before and after giving effect to such Permitted Acquisition); and</w:t>
      </w:r>
    </w:p>
    <w:p>
      <w:pPr>
        <w:spacing w:after="0" w:line="5" w:lineRule="exact"/>
        <w:rPr>
          <w:sz w:val="20"/>
          <w:szCs w:val="20"/>
          <w:color w:val="auto"/>
        </w:rPr>
      </w:pPr>
    </w:p>
    <w:p>
      <w:pPr>
        <w:ind w:left="4" w:right="480" w:hanging="4"/>
        <w:spacing w:after="0" w:line="290" w:lineRule="auto"/>
        <w:tabs>
          <w:tab w:leader="none" w:pos="259" w:val="left"/>
        </w:tabs>
        <w:numPr>
          <w:ilvl w:val="0"/>
          <w:numId w:val="74"/>
        </w:numPr>
        <w:rPr>
          <w:rFonts w:ascii="Arial" w:cs="Arial" w:eastAsia="Arial" w:hAnsi="Arial"/>
          <w:sz w:val="17"/>
          <w:szCs w:val="17"/>
          <w:color w:val="auto"/>
        </w:rPr>
      </w:pPr>
      <w:r>
        <w:rPr>
          <w:rFonts w:ascii="Arial" w:cs="Arial" w:eastAsia="Arial" w:hAnsi="Arial"/>
          <w:sz w:val="17"/>
          <w:szCs w:val="17"/>
          <w:color w:val="auto"/>
        </w:rPr>
        <w:t>Borrower shall provide to the Collateral Agent and Lenders as soon as available but in any event not later than five (5) Business Days after the execution thereof, a copy of the executed purchase agreement or similar agreement with respect to any such acquisition.</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121" w:lineRule="exact"/>
        <w:rPr>
          <w:sz w:val="20"/>
          <w:szCs w:val="20"/>
          <w:color w:val="auto"/>
        </w:rPr>
      </w:pPr>
    </w:p>
    <w:p>
      <w:pPr>
        <w:ind w:left="1244" w:hanging="253"/>
        <w:spacing w:after="0"/>
        <w:tabs>
          <w:tab w:leader="none" w:pos="1244" w:val="left"/>
        </w:tabs>
        <w:numPr>
          <w:ilvl w:val="0"/>
          <w:numId w:val="75"/>
        </w:numPr>
        <w:rPr>
          <w:rFonts w:ascii="Arial" w:cs="Arial" w:eastAsia="Arial" w:hAnsi="Arial"/>
          <w:sz w:val="18"/>
          <w:szCs w:val="18"/>
          <w:color w:val="auto"/>
        </w:rPr>
      </w:pPr>
      <w:r>
        <w:rPr>
          <w:rFonts w:ascii="Arial" w:cs="Arial" w:eastAsia="Arial" w:hAnsi="Arial"/>
          <w:sz w:val="18"/>
          <w:szCs w:val="18"/>
          <w:color w:val="auto"/>
        </w:rPr>
        <w:t>Borrower’s Indebtedness to the Lenders and Collateral Agent under this Agreement and the other Loan Documents;</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Indebtedness existing on the Effective Date and disclosed on the Perfection Certificate(s);</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117" w:lineRule="exact"/>
        <w:rPr>
          <w:rFonts w:ascii="Arial" w:cs="Arial" w:eastAsia="Arial" w:hAnsi="Arial"/>
          <w:sz w:val="18"/>
          <w:szCs w:val="18"/>
          <w:color w:val="auto"/>
        </w:rPr>
      </w:pPr>
    </w:p>
    <w:p>
      <w:pPr>
        <w:ind w:left="4" w:right="20" w:firstLine="987"/>
        <w:spacing w:after="0" w:line="287" w:lineRule="auto"/>
        <w:tabs>
          <w:tab w:leader="none" w:pos="12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Indebtedness consisting of capitalized lease obligations and purchase money Indebtedness, in each case incurred by Borrower or any of its Subsidiaries to finance the acquisition, repair, improvement or construction of fixed or capital assets of such person, provided that (i) the aggregate outstanding principal amount of all such Indebtedness does not exceed One Hundred Thousand Dollars ($100,000.00)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 furthermore, notwithstanding anything to the contrary herein and strictly for the purposes of this clause (e) of the definition of Permitted Indebtedness and for no other purpose, any obligations of a Person that are or would have been treated as operating leases or capital leases for purposes of GAAP prior to the issuance by the Financial Accounting Standards Board on February 25, 2016 of an Accounting Standards Update (Topic 842) (the “</w:t>
      </w:r>
      <w:r>
        <w:rPr>
          <w:rFonts w:ascii="Arial" w:cs="Arial" w:eastAsia="Arial" w:hAnsi="Arial"/>
          <w:sz w:val="16"/>
          <w:szCs w:val="16"/>
          <w:b w:val="1"/>
          <w:bCs w:val="1"/>
          <w:color w:val="auto"/>
        </w:rPr>
        <w:t>ASU</w:t>
      </w:r>
      <w:r>
        <w:rPr>
          <w:rFonts w:ascii="Arial" w:cs="Arial" w:eastAsia="Arial" w:hAnsi="Arial"/>
          <w:sz w:val="16"/>
          <w:szCs w:val="16"/>
          <w:color w:val="auto"/>
        </w:rPr>
        <w:t>”) shall continue to be accounted for as operating leases or capital leases (whether or not such operating lease obligations or capital lease obligations, as applicable, were in effect on such date) notwithstanding the fact that such obligations are required in accordance with the ASU (on a prospective or retroactive basis or otherwise) to be treated as capitalized lease obligations in accordance with GAAP;</w:t>
      </w:r>
    </w:p>
    <w:p>
      <w:pPr>
        <w:spacing w:after="0" w:line="63" w:lineRule="exact"/>
        <w:rPr>
          <w:rFonts w:ascii="Arial" w:cs="Arial" w:eastAsia="Arial" w:hAnsi="Arial"/>
          <w:sz w:val="16"/>
          <w:szCs w:val="16"/>
          <w:color w:val="auto"/>
        </w:rPr>
      </w:pPr>
    </w:p>
    <w:p>
      <w:pPr>
        <w:jc w:val="both"/>
        <w:ind w:left="4" w:right="80" w:firstLine="987"/>
        <w:spacing w:after="0" w:line="301" w:lineRule="auto"/>
        <w:tabs>
          <w:tab w:leader="none" w:pos="12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 any obligations owing Bank with respect to corporate credit cards or merchant services issued by Bank for the account of Borrower or any Subsidiary in an aggregate amount outstanding at any time not to exceed Five Hundred Thousand Dollars ($500,000.00), and (ii) any obligations owing to any other financial institution with respect to corporate credit cards or merchant services issued by such financial institution for the account of Borrower or any Subsidiary in an aggregate amount outstanding at any time not to exceed Seventy-Five Thousand Dollars ($75,000.00);</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4" w:right="459" w:bottom="1440" w:gutter="0" w:footer="0" w:header="0"/>
        </w:sectPr>
      </w:pPr>
    </w:p>
    <w:bookmarkStart w:id="48" w:name="page49"/>
    <w:bookmarkEnd w:id="48"/>
    <w:p>
      <w:pPr>
        <w:jc w:val="both"/>
        <w:ind w:left="-80" w:right="20" w:firstLine="987"/>
        <w:spacing w:after="0" w:line="279" w:lineRule="auto"/>
        <w:tabs>
          <w:tab w:leader="none" w:pos="1166" w:val="left"/>
        </w:tabs>
        <w:numPr>
          <w:ilvl w:val="0"/>
          <w:numId w:val="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Indebtedness in respect of letters of credit, bank guarantees, bonds and similar instruments issued for the account of the Borrower or any Subsidiary in the ordinary course of business supporting obligations under (A) workers’ compensation, unemployment insurance and other social security laws and (B) bids, trade contracts, leases, statutory obligations, surety and appeal bonds, performance bonds and obligations of a like nature; in an aggregate amount for (A) and (B) not to exceed Two Hundred Fifty Thousand Dollars ($250,000.00) at any time;</w:t>
      </w:r>
    </w:p>
    <w:p>
      <w:pPr>
        <w:spacing w:after="0" w:line="63" w:lineRule="exact"/>
        <w:rPr>
          <w:rFonts w:ascii="Arial" w:cs="Arial" w:eastAsia="Arial" w:hAnsi="Arial"/>
          <w:sz w:val="17"/>
          <w:szCs w:val="17"/>
          <w:color w:val="auto"/>
        </w:rPr>
      </w:pPr>
    </w:p>
    <w:p>
      <w:pPr>
        <w:ind w:left="1160" w:hanging="253"/>
        <w:spacing w:after="0"/>
        <w:tabs>
          <w:tab w:leader="none" w:pos="11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Indebtedness incurred as a result of endorsing negotiable instruments received in the ordinary course of Borrower’s business;</w:t>
      </w:r>
    </w:p>
    <w:p>
      <w:pPr>
        <w:spacing w:after="0" w:line="128" w:lineRule="exact"/>
        <w:rPr>
          <w:rFonts w:ascii="Arial" w:cs="Arial" w:eastAsia="Arial" w:hAnsi="Arial"/>
          <w:sz w:val="17"/>
          <w:szCs w:val="17"/>
          <w:color w:val="auto"/>
        </w:rPr>
      </w:pPr>
    </w:p>
    <w:p>
      <w:pPr>
        <w:ind w:left="-80" w:right="200" w:firstLine="987"/>
        <w:spacing w:after="0" w:line="277" w:lineRule="auto"/>
        <w:tabs>
          <w:tab w:leader="none" w:pos="1126"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Indebtedness to any Borrower owing (x) from another Borrower, or (y) from Subsidiaries, which are not a Borrower, in an aggregate amount outstanding at any time not to exceed Two Million Five Hundred Thousand Dollars ($2,500,000);</w:t>
      </w:r>
    </w:p>
    <w:p>
      <w:pPr>
        <w:spacing w:after="0" w:line="62" w:lineRule="exact"/>
        <w:rPr>
          <w:rFonts w:ascii="Arial" w:cs="Arial" w:eastAsia="Arial" w:hAnsi="Arial"/>
          <w:sz w:val="18"/>
          <w:szCs w:val="18"/>
          <w:color w:val="auto"/>
        </w:rPr>
      </w:pPr>
    </w:p>
    <w:p>
      <w:pPr>
        <w:ind w:left="-80" w:right="180" w:firstLine="987"/>
        <w:spacing w:after="0" w:line="263" w:lineRule="auto"/>
        <w:tabs>
          <w:tab w:leader="none" w:pos="1126"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(h) above, provided that the principal amount thereof is not increased or the terms thereof are not modified to impose materially more burdensome terms upon Borrower, or its Subsidiary, as the case may be.</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121" w:lineRule="exact"/>
        <w:rPr>
          <w:sz w:val="20"/>
          <w:szCs w:val="20"/>
          <w:color w:val="auto"/>
        </w:rPr>
      </w:pPr>
    </w:p>
    <w:p>
      <w:pPr>
        <w:ind w:left="1160" w:hanging="253"/>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Investments disclosed on the Perfection Certificate(s) and existing on the Effective Date;</w:t>
      </w:r>
    </w:p>
    <w:p>
      <w:pPr>
        <w:spacing w:after="0" w:line="117" w:lineRule="exact"/>
        <w:rPr>
          <w:rFonts w:ascii="Arial" w:cs="Arial" w:eastAsia="Arial" w:hAnsi="Arial"/>
          <w:sz w:val="18"/>
          <w:szCs w:val="18"/>
          <w:color w:val="auto"/>
        </w:rPr>
      </w:pPr>
    </w:p>
    <w:p>
      <w:pPr>
        <w:jc w:val="both"/>
        <w:ind w:left="-80" w:right="40" w:firstLine="987"/>
        <w:spacing w:after="0" w:line="342" w:lineRule="auto"/>
        <w:tabs>
          <w:tab w:leader="none" w:pos="1166" w:val="left"/>
        </w:tabs>
        <w:numPr>
          <w:ilvl w:val="0"/>
          <w:numId w:val="77"/>
        </w:numPr>
        <w:rPr>
          <w:rFonts w:ascii="Arial" w:cs="Arial" w:eastAsia="Arial" w:hAnsi="Arial"/>
          <w:sz w:val="16"/>
          <w:szCs w:val="16"/>
          <w:color w:val="auto"/>
        </w:rPr>
      </w:pPr>
      <w:r>
        <w:rPr>
          <w:rFonts w:ascii="Arial" w:cs="Arial" w:eastAsia="Arial" w:hAnsi="Arial"/>
          <w:sz w:val="16"/>
          <w:szCs w:val="16"/>
          <w:color w:val="auto"/>
        </w:rPr>
        <w:t>(i) Investments consisting of cash and Cash Equivalents, and (ii) any other Investments permitted by Borrower’s investment policy, as amended from time to time, provided that such investment policy (and any such amendment thereto) has been approved in writing by Collateral Agent;</w:t>
      </w:r>
    </w:p>
    <w:p>
      <w:pPr>
        <w:spacing w:after="0" w:line="15" w:lineRule="exact"/>
        <w:rPr>
          <w:rFonts w:ascii="Arial" w:cs="Arial" w:eastAsia="Arial" w:hAnsi="Arial"/>
          <w:sz w:val="16"/>
          <w:szCs w:val="16"/>
          <w:color w:val="auto"/>
        </w:rPr>
      </w:pPr>
    </w:p>
    <w:p>
      <w:pPr>
        <w:ind w:left="-80" w:right="240" w:firstLine="987"/>
        <w:spacing w:after="0" w:line="277" w:lineRule="auto"/>
        <w:tabs>
          <w:tab w:leader="none" w:pos="1156"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Borrower;</w:t>
      </w:r>
    </w:p>
    <w:p>
      <w:pPr>
        <w:spacing w:after="0" w:line="62" w:lineRule="exact"/>
        <w:rPr>
          <w:rFonts w:ascii="Arial" w:cs="Arial" w:eastAsia="Arial" w:hAnsi="Arial"/>
          <w:sz w:val="18"/>
          <w:szCs w:val="18"/>
          <w:color w:val="auto"/>
        </w:rPr>
      </w:pPr>
    </w:p>
    <w:p>
      <w:pPr>
        <w:ind w:left="1160" w:hanging="253"/>
        <w:spacing w:after="0"/>
        <w:tabs>
          <w:tab w:leader="none" w:pos="11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Investments consisting of deposit accounts in which Collateral Agent has a perfected security interest (other than foreign accounts);</w:t>
      </w:r>
    </w:p>
    <w:p>
      <w:pPr>
        <w:spacing w:after="0" w:line="140" w:lineRule="exact"/>
        <w:rPr>
          <w:rFonts w:ascii="Arial" w:cs="Arial" w:eastAsia="Arial" w:hAnsi="Arial"/>
          <w:sz w:val="16"/>
          <w:szCs w:val="16"/>
          <w:color w:val="auto"/>
        </w:rPr>
      </w:pPr>
    </w:p>
    <w:p>
      <w:pPr>
        <w:ind w:left="1160" w:hanging="253"/>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Investments in connection with Transfers permitted by Section 7.1;</w:t>
      </w:r>
    </w:p>
    <w:p>
      <w:pPr>
        <w:spacing w:after="0" w:line="117" w:lineRule="exact"/>
        <w:rPr>
          <w:rFonts w:ascii="Arial" w:cs="Arial" w:eastAsia="Arial" w:hAnsi="Arial"/>
          <w:sz w:val="18"/>
          <w:szCs w:val="18"/>
          <w:color w:val="auto"/>
        </w:rPr>
      </w:pPr>
    </w:p>
    <w:p>
      <w:pPr>
        <w:ind w:left="-80" w:right="180" w:firstLine="987"/>
        <w:spacing w:after="0" w:line="277" w:lineRule="auto"/>
        <w:tabs>
          <w:tab w:leader="none" w:pos="1136"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Investments (i) by Borrower in another Borrower, (ii) by a Borrower into Subsidiaries, which are not a Borrower, not to exceed Fifty Thousand Dollars ($50,000) in the aggregate in any fiscal year, and (iii) by Subsidiaries in Borrower;</w:t>
      </w:r>
    </w:p>
    <w:p>
      <w:pPr>
        <w:spacing w:after="0" w:line="62" w:lineRule="exact"/>
        <w:rPr>
          <w:rFonts w:ascii="Arial" w:cs="Arial" w:eastAsia="Arial" w:hAnsi="Arial"/>
          <w:sz w:val="18"/>
          <w:szCs w:val="18"/>
          <w:color w:val="auto"/>
        </w:rPr>
      </w:pPr>
    </w:p>
    <w:p>
      <w:pPr>
        <w:ind w:left="-80" w:firstLine="987"/>
        <w:spacing w:after="0" w:line="259" w:lineRule="auto"/>
        <w:tabs>
          <w:tab w:leader="none" w:pos="1166"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One Hundred Thousand Dollars ($100,000.00) in the aggregate for (i) and (ii) in any fiscal year;</w:t>
      </w:r>
    </w:p>
    <w:p>
      <w:pPr>
        <w:spacing w:after="0" w:line="78" w:lineRule="exact"/>
        <w:rPr>
          <w:rFonts w:ascii="Arial" w:cs="Arial" w:eastAsia="Arial" w:hAnsi="Arial"/>
          <w:sz w:val="18"/>
          <w:szCs w:val="18"/>
          <w:color w:val="auto"/>
        </w:rPr>
      </w:pPr>
    </w:p>
    <w:p>
      <w:pPr>
        <w:ind w:left="-80" w:firstLine="987"/>
        <w:spacing w:after="0" w:line="308" w:lineRule="auto"/>
        <w:tabs>
          <w:tab w:leader="none" w:pos="1166"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38" w:lineRule="exact"/>
        <w:rPr>
          <w:rFonts w:ascii="Arial" w:cs="Arial" w:eastAsia="Arial" w:hAnsi="Arial"/>
          <w:sz w:val="17"/>
          <w:szCs w:val="17"/>
          <w:color w:val="auto"/>
        </w:rPr>
      </w:pPr>
    </w:p>
    <w:p>
      <w:pPr>
        <w:ind w:left="-80" w:right="120" w:firstLine="987"/>
        <w:spacing w:after="0" w:line="342" w:lineRule="auto"/>
        <w:tabs>
          <w:tab w:leader="none" w:pos="1126"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Investments consisting of notes receivable of, or prepaid royalties and other credit extensions, to customers and suppliers who are not Affiliates, in the ordinary course of business; provided that this paragraph (i) shall not apply to Investments of Borrower in any Subsidiary;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860"/>
          </w:cols>
          <w:pgMar w:left="520" w:top="274" w:right="519" w:bottom="1440" w:gutter="0" w:footer="0" w:header="0"/>
        </w:sectPr>
      </w:pPr>
    </w:p>
    <w:bookmarkStart w:id="49" w:name="page50"/>
    <w:bookmarkEnd w:id="49"/>
    <w:p>
      <w:pPr>
        <w:ind w:right="920" w:firstLine="987"/>
        <w:spacing w:after="0" w:line="308" w:lineRule="auto"/>
        <w:tabs>
          <w:tab w:leader="none" w:pos="1206" w:val="left"/>
        </w:tabs>
        <w:numPr>
          <w:ilvl w:val="0"/>
          <w:numId w:val="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non-cash Investments in joint ventures or strategic alliances in the ordinary course of Borrower’s business consisting of the non-exclusive licensing of technology, the development of technology or the providing of technical support; and</w:t>
      </w:r>
    </w:p>
    <w:p>
      <w:pPr>
        <w:spacing w:after="0" w:line="38" w:lineRule="exact"/>
        <w:rPr>
          <w:rFonts w:ascii="Arial" w:cs="Arial" w:eastAsia="Arial" w:hAnsi="Arial"/>
          <w:sz w:val="17"/>
          <w:szCs w:val="17"/>
          <w:color w:val="auto"/>
        </w:rPr>
      </w:pPr>
    </w:p>
    <w:p>
      <w:pPr>
        <w:ind w:left="1240" w:hanging="253"/>
        <w:spacing w:after="0"/>
        <w:tabs>
          <w:tab w:leader="none" w:pos="1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Lithuanian Subsidiary Investments.</w:t>
      </w:r>
    </w:p>
    <w:p>
      <w:pPr>
        <w:spacing w:after="0" w:line="22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Licenses</w:t>
      </w:r>
      <w:r>
        <w:rPr>
          <w:rFonts w:ascii="Arial" w:cs="Arial" w:eastAsia="Arial" w:hAnsi="Arial"/>
          <w:sz w:val="16"/>
          <w:szCs w:val="16"/>
          <w:color w:val="auto"/>
        </w:rPr>
        <w:t xml:space="preserve">” are (A) licenses of over-the-counter software that is commercially available to the public, and (B) non-exclusive and exclusive licenses for the use of the Intellectual Property of Borrower or any of its Subsidiaries entered into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that, with respect to each such license described in clause (B), (i) no Event of Default has occurred or is continuing at the time of such license; (ii) the license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(iii) in the case of any exclusive license, (x) Borrower delivers ten (10) days’ prior written notice and a brief summary of the terms of the proposed license to Collateral Agent and the Lenders and delivers to Collateral Agent and the Lenders copies of the final executed licensing documents in connection with the exclusive license promptly upon consummation thereof, and (y) any such license could not result in a legal transfer of title of the licensed property but may be exclusive in respects other than territory and may be exclusive as to territory only as to discrete geographical areas outside of the United States; and (iv) all upfront payments, royalties, milestone payments or other proceeds arising from the licensing agreement that are payable to Borrower or any of its Subsidiaries are paid to a Deposit Account that is governed by a Control Agreement.</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 Liens existing on the Effective Date and disclosed on the Perfection Certificates or arising under this Agreement and the other Loan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103" w:lineRule="exact"/>
        <w:rPr>
          <w:sz w:val="20"/>
          <w:szCs w:val="20"/>
          <w:color w:val="auto"/>
        </w:rPr>
      </w:pPr>
    </w:p>
    <w:p>
      <w:pPr>
        <w:ind w:right="140" w:firstLine="987"/>
        <w:spacing w:after="0" w:line="263" w:lineRule="auto"/>
        <w:tabs>
          <w:tab w:leader="none" w:pos="1246"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 charges or levies, either (i) not due and payable or (ii) being contested in good faith and for which Borrower maintains adequate reserves on its Books, provided that no notice of any such Lien has been filed or recorded under the Internal Revenue Code of 1986, as amended, and the Treasury Regulations adopted thereunder;</w:t>
      </w:r>
    </w:p>
    <w:p>
      <w:pPr>
        <w:spacing w:after="0" w:line="71" w:lineRule="exact"/>
        <w:rPr>
          <w:rFonts w:ascii="Arial" w:cs="Arial" w:eastAsia="Arial" w:hAnsi="Arial"/>
          <w:sz w:val="18"/>
          <w:szCs w:val="18"/>
          <w:color w:val="auto"/>
        </w:rPr>
      </w:pPr>
    </w:p>
    <w:p>
      <w:pPr>
        <w:ind w:firstLine="987"/>
        <w:spacing w:after="0" w:line="281" w:lineRule="auto"/>
        <w:tabs>
          <w:tab w:leader="none" w:pos="1236" w:val="left"/>
        </w:tabs>
        <w:numPr>
          <w:ilvl w:val="0"/>
          <w:numId w:val="79"/>
        </w:numPr>
        <w:rPr>
          <w:rFonts w:ascii="Arial" w:cs="Arial" w:eastAsia="Arial" w:hAnsi="Arial"/>
          <w:sz w:val="17"/>
          <w:szCs w:val="17"/>
          <w:color w:val="auto"/>
        </w:rPr>
      </w:pPr>
      <w:r>
        <w:rPr>
          <w:rFonts w:ascii="Arial" w:cs="Arial" w:eastAsia="Arial" w:hAnsi="Arial"/>
          <w:sz w:val="17"/>
          <w:szCs w:val="17"/>
          <w:color w:val="auto"/>
        </w:rPr>
        <w:t>liens securing Indebtedness permitted under clause (e) of the definition of “</w:t>
      </w:r>
      <w:r>
        <w:rPr>
          <w:rFonts w:ascii="Arial" w:cs="Arial" w:eastAsia="Arial" w:hAnsi="Arial"/>
          <w:sz w:val="17"/>
          <w:szCs w:val="17"/>
          <w:b w:val="1"/>
          <w:bCs w:val="1"/>
          <w:color w:val="auto"/>
        </w:rPr>
        <w:t>Permitted Indebtedness</w:t>
      </w:r>
      <w:r>
        <w:rPr>
          <w:rFonts w:ascii="Arial" w:cs="Arial" w:eastAsia="Arial" w:hAnsi="Arial"/>
          <w:sz w:val="17"/>
          <w:szCs w:val="17"/>
          <w:color w:val="auto"/>
        </w:rPr>
        <w:t>,”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Borrower other than the property (and proceeds thereof) acquired, leased or built, or the improvements or repairs, financed by such Indebtedness;</w:t>
      </w:r>
    </w:p>
    <w:p>
      <w:pPr>
        <w:spacing w:after="0" w:line="60" w:lineRule="exact"/>
        <w:rPr>
          <w:rFonts w:ascii="Arial" w:cs="Arial" w:eastAsia="Arial" w:hAnsi="Arial"/>
          <w:sz w:val="17"/>
          <w:szCs w:val="17"/>
          <w:color w:val="auto"/>
        </w:rPr>
      </w:pPr>
    </w:p>
    <w:p>
      <w:pPr>
        <w:jc w:val="both"/>
        <w:ind w:right="100" w:firstLine="987"/>
        <w:spacing w:after="0" w:line="279" w:lineRule="auto"/>
        <w:tabs>
          <w:tab w:leader="none" w:pos="1246" w:val="left"/>
        </w:tabs>
        <w:numPr>
          <w:ilvl w:val="0"/>
          <w:numId w:val="79"/>
        </w:numPr>
        <w:rPr>
          <w:rFonts w:ascii="Arial" w:cs="Arial" w:eastAsia="Arial" w:hAnsi="Arial"/>
          <w:sz w:val="17"/>
          <w:szCs w:val="17"/>
          <w:color w:val="auto"/>
        </w:rPr>
      </w:pPr>
      <w:r>
        <w:rPr>
          <w:rFonts w:ascii="Arial" w:cs="Arial" w:eastAsia="Arial" w:hAnsi="Arial"/>
          <w:sz w:val="17"/>
          <w:szCs w:val="17"/>
          <w:color w:val="auto"/>
        </w:rPr>
        <w:t>Liens of carriers, warehousemen, suppliers, or other Persons that are possessory in nature arising in the ordinary course of business so long as such Liens attach only to Inventory, securing liabilities in the aggregate amount not to exceed Twenty Five Thousand Dollars ($25,000.00),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63" w:lineRule="exact"/>
        <w:rPr>
          <w:rFonts w:ascii="Arial" w:cs="Arial" w:eastAsia="Arial" w:hAnsi="Arial"/>
          <w:sz w:val="17"/>
          <w:szCs w:val="17"/>
          <w:color w:val="auto"/>
        </w:rPr>
      </w:pPr>
    </w:p>
    <w:p>
      <w:pPr>
        <w:ind w:right="40" w:firstLine="987"/>
        <w:spacing w:after="0" w:line="277" w:lineRule="auto"/>
        <w:tabs>
          <w:tab w:leader="none" w:pos="1236"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62" w:lineRule="exact"/>
        <w:rPr>
          <w:rFonts w:ascii="Arial" w:cs="Arial" w:eastAsia="Arial" w:hAnsi="Arial"/>
          <w:sz w:val="18"/>
          <w:szCs w:val="18"/>
          <w:color w:val="auto"/>
        </w:rPr>
      </w:pPr>
    </w:p>
    <w:p>
      <w:pPr>
        <w:ind w:right="200" w:firstLine="987"/>
        <w:spacing w:after="0" w:line="263" w:lineRule="auto"/>
        <w:tabs>
          <w:tab w:leader="none" w:pos="1216"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Liens incurred in the extension, renewal or refinancing of the indebtedness secured by Liens described in (a) through (c),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any extension, renewal or replacement Lien must be limited to the property encumbered by the existing Lien and the principal amount of the indebtedness may not increase;</w:t>
      </w:r>
    </w:p>
    <w:p>
      <w:pPr>
        <w:spacing w:after="0" w:line="75" w:lineRule="exact"/>
        <w:rPr>
          <w:rFonts w:ascii="Arial" w:cs="Arial" w:eastAsia="Arial" w:hAnsi="Arial"/>
          <w:sz w:val="18"/>
          <w:szCs w:val="18"/>
          <w:color w:val="auto"/>
        </w:rPr>
      </w:pPr>
    </w:p>
    <w:p>
      <w:pPr>
        <w:jc w:val="both"/>
        <w:ind w:right="160" w:firstLine="987"/>
        <w:spacing w:after="0" w:line="301" w:lineRule="auto"/>
        <w:tabs>
          <w:tab w:leader="none" w:pos="1246" w:val="left"/>
        </w:tabs>
        <w:numPr>
          <w:ilvl w:val="0"/>
          <w:numId w:val="79"/>
        </w:numPr>
        <w:rPr>
          <w:rFonts w:ascii="Arial" w:cs="Arial" w:eastAsia="Arial" w:hAnsi="Arial"/>
          <w:sz w:val="16"/>
          <w:szCs w:val="16"/>
          <w:color w:val="auto"/>
        </w:rPr>
      </w:pPr>
      <w:r>
        <w:rPr>
          <w:rFonts w:ascii="Arial" w:cs="Arial" w:eastAsia="Arial" w:hAnsi="Arial"/>
          <w:sz w:val="16"/>
          <w:szCs w:val="16"/>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or any Lender a security interest therein;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40" w:top="274" w:right="479" w:bottom="1440" w:gutter="0" w:footer="0" w:header="0"/>
        </w:sectPr>
      </w:pPr>
    </w:p>
    <w:bookmarkStart w:id="50" w:name="page51"/>
    <w:bookmarkEnd w:id="50"/>
    <w:p>
      <w:pPr>
        <w:ind w:right="460" w:firstLine="987"/>
        <w:spacing w:after="0" w:line="263" w:lineRule="auto"/>
        <w:tabs>
          <w:tab w:leader="none" w:pos="1246"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banker’s liens, rights of setoff and Liens in favor of financial institutions incurred in the ordinary course of business arising in connection with Borrower’s deposit accounts or securities accounts held at such institutions solely to secure payment of fees and similar costs and expenses and provided such accounts are maintained in compliance with Section 6.6(b) hereof;</w:t>
      </w:r>
    </w:p>
    <w:p>
      <w:pPr>
        <w:spacing w:after="0" w:line="75" w:lineRule="exact"/>
        <w:rPr>
          <w:rFonts w:ascii="Arial" w:cs="Arial" w:eastAsia="Arial" w:hAnsi="Arial"/>
          <w:sz w:val="18"/>
          <w:szCs w:val="18"/>
          <w:color w:val="auto"/>
        </w:rPr>
      </w:pPr>
    </w:p>
    <w:p>
      <w:pPr>
        <w:ind w:left="1200" w:hanging="213"/>
        <w:spacing w:after="0"/>
        <w:tabs>
          <w:tab w:leader="none" w:pos="12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Liens arising from judgments, decrees or attachments in circumstances not constituting an Event of Default under Section 8.4 or 8.7;</w:t>
      </w:r>
    </w:p>
    <w:p>
      <w:pPr>
        <w:spacing w:after="0" w:line="140" w:lineRule="exact"/>
        <w:rPr>
          <w:rFonts w:ascii="Arial" w:cs="Arial" w:eastAsia="Arial" w:hAnsi="Arial"/>
          <w:sz w:val="16"/>
          <w:szCs w:val="16"/>
          <w:color w:val="auto"/>
        </w:rPr>
      </w:pPr>
    </w:p>
    <w:p>
      <w:pPr>
        <w:ind w:left="1200" w:hanging="213"/>
        <w:spacing w:after="0"/>
        <w:tabs>
          <w:tab w:leader="none" w:pos="12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Liens consisting of Permitted Licenses;</w:t>
      </w:r>
    </w:p>
    <w:p>
      <w:pPr>
        <w:spacing w:after="0" w:line="117" w:lineRule="exact"/>
        <w:rPr>
          <w:rFonts w:ascii="Arial" w:cs="Arial" w:eastAsia="Arial" w:hAnsi="Arial"/>
          <w:sz w:val="18"/>
          <w:szCs w:val="18"/>
          <w:color w:val="auto"/>
        </w:rPr>
      </w:pPr>
    </w:p>
    <w:p>
      <w:pPr>
        <w:ind w:firstLine="987"/>
        <w:spacing w:after="0" w:line="277" w:lineRule="auto"/>
        <w:tabs>
          <w:tab w:leader="none" w:pos="1246"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easements, reservations, rights-of-way, restrictions, minor defects or irregularities in title and other similar Liens affecting real property not interfering in any material respect with the ordinary course of the business of Borrower; and</w:t>
      </w:r>
    </w:p>
    <w:p>
      <w:pPr>
        <w:spacing w:after="0" w:line="62" w:lineRule="exact"/>
        <w:rPr>
          <w:rFonts w:ascii="Arial" w:cs="Arial" w:eastAsia="Arial" w:hAnsi="Arial"/>
          <w:sz w:val="18"/>
          <w:szCs w:val="18"/>
          <w:color w:val="auto"/>
        </w:rPr>
      </w:pPr>
    </w:p>
    <w:p>
      <w:pPr>
        <w:ind w:right="60" w:firstLine="987"/>
        <w:spacing w:after="0" w:line="311" w:lineRule="auto"/>
        <w:tabs>
          <w:tab w:leader="none" w:pos="1206" w:val="left"/>
        </w:tabs>
        <w:numPr>
          <w:ilvl w:val="0"/>
          <w:numId w:val="80"/>
        </w:numPr>
        <w:rPr>
          <w:rFonts w:ascii="Arial" w:cs="Arial" w:eastAsia="Arial" w:hAnsi="Arial"/>
          <w:sz w:val="16"/>
          <w:szCs w:val="16"/>
          <w:color w:val="auto"/>
        </w:rPr>
      </w:pPr>
      <w:r>
        <w:rPr>
          <w:rFonts w:ascii="Arial" w:cs="Arial" w:eastAsia="Arial" w:hAnsi="Arial"/>
          <w:sz w:val="16"/>
          <w:szCs w:val="16"/>
          <w:color w:val="auto"/>
        </w:rPr>
        <w:t>deposits to secure the performance of leases entered into in the ordinary course of business and not representing an obligation for borrowed money so long as (i) each such deposit is made at the commencement of a lease or its renewal when there is no underlying default under such lease and (ii) the aggregate amount of all such outstanding deposits does not exceed Two Hundred Fifty Thousand Dollars ($250,000.00); and</w:t>
      </w:r>
    </w:p>
    <w:p>
      <w:pPr>
        <w:spacing w:after="0" w:line="40" w:lineRule="exact"/>
        <w:rPr>
          <w:rFonts w:ascii="Arial" w:cs="Arial" w:eastAsia="Arial" w:hAnsi="Arial"/>
          <w:sz w:val="16"/>
          <w:szCs w:val="16"/>
          <w:color w:val="auto"/>
        </w:rPr>
      </w:pPr>
    </w:p>
    <w:p>
      <w:pPr>
        <w:ind w:right="200" w:firstLine="987"/>
        <w:spacing w:after="0" w:line="263" w:lineRule="auto"/>
        <w:tabs>
          <w:tab w:leader="none" w:pos="1296"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Liens incurred in the extension, renewal or refinancing of the indebtedness secured by Liens described in (a) through (l), but any extension, renewal or replacement Lien must be limited to the property encumbered by the existing Lien and the principal amount of the indebtedness may not increase.</w:t>
      </w:r>
    </w:p>
    <w:p>
      <w:pPr>
        <w:spacing w:after="0" w:line="180" w:lineRule="exact"/>
        <w:rPr>
          <w:sz w:val="20"/>
          <w:szCs w:val="20"/>
          <w:color w:val="auto"/>
        </w:rPr>
      </w:pPr>
    </w:p>
    <w:p>
      <w:pPr>
        <w:ind w:right="6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Post Closing Letter</w:t>
      </w:r>
      <w:r>
        <w:rPr>
          <w:rFonts w:ascii="Arial" w:cs="Arial" w:eastAsia="Arial" w:hAnsi="Arial"/>
          <w:sz w:val="17"/>
          <w:szCs w:val="17"/>
          <w:color w:val="auto"/>
        </w:rPr>
        <w:t>” is that certain Post Closing Letter dated as of the Effective Date by and between Collateral Agent and Borrower.</w:t>
      </w:r>
    </w:p>
    <w:p>
      <w:pPr>
        <w:spacing w:after="0" w:line="237"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Fee</w:t>
      </w:r>
      <w:r>
        <w:rPr>
          <w:rFonts w:ascii="Arial" w:cs="Arial" w:eastAsia="Arial" w:hAnsi="Arial"/>
          <w:sz w:val="18"/>
          <w:szCs w:val="18"/>
          <w:color w:val="auto"/>
        </w:rPr>
        <w:t>” is, with respect to any Term Loan subject to prepayment prior to the Maturity Date, whether by mandatory or voluntary prepayment, acceleration or otherwise, an additional fee payable to the Lenders in amount equal to:</w:t>
      </w:r>
    </w:p>
    <w:p>
      <w:pPr>
        <w:spacing w:after="0" w:line="58" w:lineRule="exact"/>
        <w:rPr>
          <w:sz w:val="20"/>
          <w:szCs w:val="20"/>
          <w:color w:val="auto"/>
        </w:rPr>
      </w:pPr>
    </w:p>
    <w:p>
      <w:pPr>
        <w:ind w:right="120" w:firstLine="1428"/>
        <w:spacing w:after="0" w:line="277" w:lineRule="auto"/>
        <w:tabs>
          <w:tab w:leader="none" w:pos="16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a prepayment made on or after the Funding Date of such Term Loan prior to the first anniversary of the Effective Date, three percent (3.00%) of the principal amount of such Term Loan prepaid;</w:t>
      </w:r>
    </w:p>
    <w:p>
      <w:pPr>
        <w:spacing w:after="0" w:line="62" w:lineRule="exact"/>
        <w:rPr>
          <w:rFonts w:ascii="Arial" w:cs="Arial" w:eastAsia="Arial" w:hAnsi="Arial"/>
          <w:sz w:val="18"/>
          <w:szCs w:val="18"/>
          <w:color w:val="auto"/>
        </w:rPr>
      </w:pPr>
    </w:p>
    <w:p>
      <w:pPr>
        <w:ind w:right="140" w:firstLine="1428"/>
        <w:spacing w:after="0" w:line="308" w:lineRule="auto"/>
        <w:tabs>
          <w:tab w:leader="none" w:pos="1697" w:val="left"/>
        </w:tabs>
        <w:numPr>
          <w:ilvl w:val="0"/>
          <w:numId w:val="81"/>
        </w:numPr>
        <w:rPr>
          <w:rFonts w:ascii="Arial" w:cs="Arial" w:eastAsia="Arial" w:hAnsi="Arial"/>
          <w:sz w:val="17"/>
          <w:szCs w:val="17"/>
          <w:color w:val="auto"/>
        </w:rPr>
      </w:pPr>
      <w:r>
        <w:rPr>
          <w:rFonts w:ascii="Arial" w:cs="Arial" w:eastAsia="Arial" w:hAnsi="Arial"/>
          <w:sz w:val="17"/>
          <w:szCs w:val="17"/>
          <w:color w:val="auto"/>
        </w:rPr>
        <w:t>for a prepayment made after the date which is on or after the first anniversary of the Funding Date of such Term Loan but prior to the second anniversary of the Effective Date, two percent (2.00%) of the principal amount of the Term Loans prepaid; and</w:t>
      </w:r>
    </w:p>
    <w:p>
      <w:pPr>
        <w:spacing w:after="0" w:line="38" w:lineRule="exact"/>
        <w:rPr>
          <w:rFonts w:ascii="Arial" w:cs="Arial" w:eastAsia="Arial" w:hAnsi="Arial"/>
          <w:sz w:val="17"/>
          <w:szCs w:val="17"/>
          <w:color w:val="auto"/>
        </w:rPr>
      </w:pPr>
    </w:p>
    <w:p>
      <w:pPr>
        <w:ind w:right="120" w:firstLine="1428"/>
        <w:spacing w:after="0" w:line="277" w:lineRule="auto"/>
        <w:tabs>
          <w:tab w:leader="none" w:pos="17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a prepayment made after the date which is on or after the second anniversary of the Effective Date but prior to the Maturity Date, one percent (1.00%) of the principal amount of the Term Loans prepaid.</w:t>
      </w:r>
    </w:p>
    <w:p>
      <w:pPr>
        <w:spacing w:after="0" w:line="166" w:lineRule="exact"/>
        <w:rPr>
          <w:sz w:val="20"/>
          <w:szCs w:val="20"/>
          <w:color w:val="auto"/>
        </w:rPr>
      </w:pPr>
    </w:p>
    <w:p>
      <w:pPr>
        <w:jc w:val="both"/>
        <w:ind w:right="3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is, as of any date of determination, with respect to each Lender, a percentage (expressed as a decimal, rounded to the ninth decimal place) determined by dividing the outstanding principal amount of Term Loans held by such Lender by the aggregate outstanding principal amount of all Term Loans.</w:t>
      </w:r>
    </w:p>
    <w:p>
      <w:pPr>
        <w:spacing w:after="0" w:line="176" w:lineRule="exact"/>
        <w:rPr>
          <w:sz w:val="20"/>
          <w:szCs w:val="20"/>
          <w:color w:val="auto"/>
        </w:rPr>
      </w:pPr>
    </w:p>
    <w:p>
      <w:pPr>
        <w:jc w:val="center"/>
        <w:ind w:left="660" w:right="22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Organization</w:t>
      </w:r>
      <w:r>
        <w:rPr>
          <w:rFonts w:ascii="Arial" w:cs="Arial" w:eastAsia="Arial" w:hAnsi="Arial"/>
          <w:sz w:val="18"/>
          <w:szCs w:val="18"/>
          <w:color w:val="auto"/>
        </w:rPr>
        <w:t>” is any “registered organization” as defined in the Code with such additions to such term as may hereafter be made. 38</w:t>
      </w:r>
    </w:p>
    <w:p>
      <w:pPr>
        <w:sectPr>
          <w:pgSz w:w="11900" w:h="16838" w:orient="portrait"/>
          <w:cols w:equalWidth="0" w:num="1">
            <w:col w:w="10980"/>
          </w:cols>
          <w:pgMar w:left="440" w:top="274" w:right="479" w:bottom="1440" w:gutter="0" w:footer="0" w:header="0"/>
        </w:sectPr>
      </w:pPr>
    </w:p>
    <w:bookmarkStart w:id="51" w:name="page52"/>
    <w:bookmarkEnd w:id="51"/>
    <w:p>
      <w:pPr>
        <w:ind w:left="4" w:right="10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Required Lenders</w:t>
      </w:r>
      <w:r>
        <w:rPr>
          <w:rFonts w:ascii="Arial" w:cs="Arial" w:eastAsia="Arial" w:hAnsi="Arial"/>
          <w:sz w:val="17"/>
          <w:szCs w:val="17"/>
          <w:color w:val="auto"/>
        </w:rPr>
        <w:t>” means (i) for so long as all of the Persons that are Lenders on the Effective Date (each an “</w:t>
      </w:r>
      <w:r>
        <w:rPr>
          <w:rFonts w:ascii="Arial" w:cs="Arial" w:eastAsia="Arial" w:hAnsi="Arial"/>
          <w:sz w:val="17"/>
          <w:szCs w:val="17"/>
          <w:b w:val="1"/>
          <w:bCs w:val="1"/>
          <w:color w:val="auto"/>
        </w:rPr>
        <w:t>Original Lender</w:t>
      </w:r>
      <w:r>
        <w:rPr>
          <w:rFonts w:ascii="Arial" w:cs="Arial" w:eastAsia="Arial" w:hAnsi="Arial"/>
          <w:sz w:val="17"/>
          <w:szCs w:val="17"/>
          <w:color w:val="auto"/>
        </w:rPr>
        <w:t>”) have not assigned or transferred any of their interests in their Term Loan, Lenders holding one hundred percent (100%) of the aggregate outstanding principal balance of the Term Loan, or (ii) at any time from and after any Original Lender has assigned or transferred any interest in its Term Loan, Lenders holding at least sixty six percent (66%) of the aggregate outstanding principal balance of the Term Loan and, in respect of this clause (ii), (A) each Original Lender that has not assigned or transferred any portion of its Term Loan, (B) each assignee or transferee of an Original Lender’s interest in the Term Loan, but only to the extent that such assignee or transferee is an Affiliate or Approved Fund of such Original Lender, and (C) any Person providing financing to any Person described in clauses (A) and (B) above; provided, however, that this clause (C) shall only apply upon the occurrence of a default, event of default or similar occurrence with respect to such financing.</w:t>
      </w:r>
    </w:p>
    <w:p>
      <w:pPr>
        <w:spacing w:after="0" w:line="172" w:lineRule="exact"/>
        <w:rPr>
          <w:sz w:val="20"/>
          <w:szCs w:val="20"/>
          <w:color w:val="auto"/>
        </w:rPr>
      </w:pPr>
    </w:p>
    <w:p>
      <w:pPr>
        <w:jc w:val="both"/>
        <w:ind w:left="4"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President, Chief Executive Officer, or Chief Financial Officer of Borrower acting alone.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Second Draw Period</w:t>
      </w:r>
      <w:r>
        <w:rPr>
          <w:rFonts w:ascii="Arial" w:cs="Arial" w:eastAsia="Arial" w:hAnsi="Arial"/>
          <w:sz w:val="17"/>
          <w:szCs w:val="17"/>
          <w:color w:val="auto"/>
        </w:rPr>
        <w:t>” is the period commencing on the date of the occurrence of the Term B Milestones and ending on the earliest of</w:t>
      </w:r>
    </w:p>
    <w:p>
      <w:pPr>
        <w:spacing w:after="0" w:line="39" w:lineRule="exact"/>
        <w:rPr>
          <w:sz w:val="20"/>
          <w:szCs w:val="20"/>
          <w:color w:val="auto"/>
        </w:rPr>
      </w:pPr>
    </w:p>
    <w:p>
      <w:pPr>
        <w:ind w:left="4" w:right="220" w:hanging="4"/>
        <w:spacing w:after="0" w:line="255" w:lineRule="auto"/>
        <w:tabs>
          <w:tab w:leader="none" w:pos="219"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September 30, 2021, (ii) sixty (60) days after achieving the Term B Milestones, and (iii) the occurrence of an Event of Default; provided, however, that the Second Draw Period shall not commence if on the date of the occurrence of the Term B Milestones an Event of Default has occurred and is continuing.</w:t>
      </w:r>
    </w:p>
    <w:p>
      <w:pPr>
        <w:spacing w:after="0" w:line="18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“securities account” as defined in the Code with such additions to such term as may hereafter be made.</w:t>
      </w:r>
    </w:p>
    <w:p>
      <w:pPr>
        <w:spacing w:after="0" w:line="225" w:lineRule="exact"/>
        <w:rPr>
          <w:sz w:val="20"/>
          <w:szCs w:val="20"/>
          <w:color w:val="auto"/>
        </w:rPr>
      </w:pPr>
    </w:p>
    <w:p>
      <w:pPr>
        <w:ind w:left="4"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is one hundred percent (100%) of the issued and outstanding capital stock, membership units or other securities owned or held of record by Borrower or Borrower’s Subsidiary, in any Subsidiary.</w:t>
      </w:r>
    </w:p>
    <w:p>
      <w:pPr>
        <w:spacing w:after="0" w:line="162" w:lineRule="exact"/>
        <w:rPr>
          <w:sz w:val="20"/>
          <w:szCs w:val="20"/>
          <w:color w:val="auto"/>
        </w:rPr>
      </w:pPr>
    </w:p>
    <w:p>
      <w:pPr>
        <w:jc w:val="both"/>
        <w:ind w:left="4"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w:t>
      </w:r>
    </w:p>
    <w:p>
      <w:pPr>
        <w:spacing w:after="0" w:line="176" w:lineRule="exact"/>
        <w:rPr>
          <w:sz w:val="20"/>
          <w:szCs w:val="20"/>
          <w:color w:val="auto"/>
        </w:rPr>
      </w:pPr>
    </w:p>
    <w:p>
      <w:pPr>
        <w:ind w:left="4" w:right="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or any of its Subsidiaries subordinated to all Indebtedness of Borrower and/or its Subsidiaries to the Lenders (pursuant to a subordination, intercreditor, or other similar agreement in form and substance satisfactory to Collateral Agent and the Lenders entered into between Collateral Agent, Borrower, and/or any of its Subsidiaries, and the other creditor), on terms acceptable to Collateral Agent and the Lenders.</w:t>
      </w:r>
    </w:p>
    <w:p>
      <w:pPr>
        <w:spacing w:after="0" w:line="180" w:lineRule="exact"/>
        <w:rPr>
          <w:sz w:val="20"/>
          <w:szCs w:val="20"/>
          <w:color w:val="auto"/>
        </w:rPr>
      </w:pPr>
    </w:p>
    <w:p>
      <w:pPr>
        <w:ind w:left="4" w:right="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w:t>
      </w:r>
    </w:p>
    <w:p>
      <w:pPr>
        <w:spacing w:after="0" w:line="11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Loan(s)</w:t>
      </w:r>
      <w:r>
        <w:rPr>
          <w:rFonts w:ascii="Arial" w:cs="Arial" w:eastAsia="Arial" w:hAnsi="Arial"/>
          <w:sz w:val="18"/>
          <w:szCs w:val="18"/>
          <w:color w:val="auto"/>
        </w:rPr>
        <w:t>” is defined in Section 2.2(a)(ii) hereof.</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Loan(s)</w:t>
      </w:r>
      <w:r>
        <w:rPr>
          <w:rFonts w:ascii="Arial" w:cs="Arial" w:eastAsia="Arial" w:hAnsi="Arial"/>
          <w:sz w:val="18"/>
          <w:szCs w:val="18"/>
          <w:color w:val="auto"/>
        </w:rPr>
        <w:t>” is defined in Section 2.2(a)(i) hereof.</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Loan(s)</w:t>
      </w:r>
      <w:r>
        <w:rPr>
          <w:rFonts w:ascii="Arial" w:cs="Arial" w:eastAsia="Arial" w:hAnsi="Arial"/>
          <w:sz w:val="18"/>
          <w:szCs w:val="18"/>
          <w:color w:val="auto"/>
        </w:rPr>
        <w:t>” is defined in Section 2.2(a)(ii) hereof.</w:t>
      </w:r>
    </w:p>
    <w:p>
      <w:pPr>
        <w:spacing w:after="0" w:line="225"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B Milestones</w:t>
      </w:r>
      <w:r>
        <w:rPr>
          <w:rFonts w:ascii="Arial" w:cs="Arial" w:eastAsia="Arial" w:hAnsi="Arial"/>
          <w:sz w:val="16"/>
          <w:szCs w:val="16"/>
          <w:color w:val="auto"/>
        </w:rPr>
        <w:t>” means (i) the delivery by Borrower to Collateral Agent and the Lenders of evidence, in form and content acceptable to Collateral Agent and Lenders, of Borrower, prior to March 31, 2021, achieving positive Phase 1b/2a NASH data sufficient to initiate a Phase 2b trial and</w:t>
      </w:r>
    </w:p>
    <w:p>
      <w:pPr>
        <w:spacing w:after="0" w:line="1" w:lineRule="exact"/>
        <w:rPr>
          <w:sz w:val="20"/>
          <w:szCs w:val="20"/>
          <w:color w:val="auto"/>
        </w:rPr>
      </w:pPr>
    </w:p>
    <w:p>
      <w:pPr>
        <w:ind w:left="5424" w:right="3100" w:hanging="5424"/>
        <w:spacing w:after="0" w:line="433" w:lineRule="auto"/>
        <w:tabs>
          <w:tab w:leader="none" w:pos="271"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funding of the Term A Loans in the full amount of the Term Loan Commitment for the Term A Loans. 39</w:t>
      </w:r>
    </w:p>
    <w:p>
      <w:pPr>
        <w:sectPr>
          <w:pgSz w:w="11900" w:h="16838" w:orient="portrait"/>
          <w:cols w:equalWidth="0" w:num="1">
            <w:col w:w="11004"/>
          </w:cols>
          <w:pgMar w:left="436" w:top="270" w:right="459" w:bottom="1440" w:gutter="0" w:footer="0" w:header="0"/>
        </w:sectPr>
      </w:pPr>
    </w:p>
    <w:bookmarkStart w:id="52" w:name="page53"/>
    <w:bookmarkEnd w:id="52"/>
    <w:p>
      <w:pPr>
        <w:ind w:right="5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Term Loan Commitment</w:t>
      </w:r>
      <w:r>
        <w:rPr>
          <w:rFonts w:ascii="Arial" w:cs="Arial" w:eastAsia="Arial" w:hAnsi="Arial"/>
          <w:sz w:val="18"/>
          <w:szCs w:val="18"/>
          <w:color w:val="auto"/>
        </w:rPr>
        <w:t xml:space="preserve">” is, for any Lender, the obligation of such Lender to make a Term Loan, up to the principal amount shown on </w:t>
      </w:r>
      <w:r>
        <w:rPr>
          <w:rFonts w:ascii="Arial" w:cs="Arial" w:eastAsia="Arial" w:hAnsi="Arial"/>
          <w:sz w:val="18"/>
          <w:szCs w:val="18"/>
          <w:u w:val="single" w:color="auto"/>
          <w:color w:val="auto"/>
        </w:rPr>
        <w:t>Schedule 1.1</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Term Loan Commitments</w:t>
      </w:r>
      <w:r>
        <w:rPr>
          <w:rFonts w:ascii="Arial" w:cs="Arial" w:eastAsia="Arial" w:hAnsi="Arial"/>
          <w:sz w:val="18"/>
          <w:szCs w:val="18"/>
          <w:color w:val="auto"/>
        </w:rPr>
        <w:t>” means the aggregate amount of such commitments of all Lenders.</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are those certain Warrants to Purchase Stock dated as of the Effective Date, or any date thereafter, issued by Borrower in favor of each Lender or such Lender’s Affiliates.</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860"/>
          </w:cols>
          <w:pgMar w:left="440" w:top="270" w:right="599" w:bottom="1440" w:gutter="0" w:footer="0" w:header="0"/>
        </w:sectPr>
      </w:pPr>
    </w:p>
    <w:bookmarkStart w:id="53" w:name="page54"/>
    <w:bookmarkEnd w:id="53"/>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Agreement to be executed as of the Effective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3"/>
          </w:tcPr>
          <w:p>
            <w:pPr>
              <w:spacing w:after="0"/>
              <w:rPr>
                <w:sz w:val="20"/>
                <w:szCs w:val="20"/>
                <w:color w:val="auto"/>
              </w:rPr>
            </w:pPr>
            <w:r>
              <w:rPr>
                <w:rFonts w:ascii="Arial" w:cs="Arial" w:eastAsia="Arial" w:hAnsi="Arial"/>
                <w:sz w:val="18"/>
                <w:szCs w:val="18"/>
                <w:color w:val="auto"/>
              </w:rPr>
              <w:t>89BIO, INC.</w:t>
            </w:r>
          </w:p>
        </w:tc>
        <w:tc>
          <w:tcPr>
            <w:tcW w:w="320" w:type="dxa"/>
            <w:vAlign w:val="bottom"/>
          </w:tcPr>
          <w:p>
            <w:pPr>
              <w:spacing w:after="0"/>
              <w:rPr>
                <w:sz w:val="20"/>
                <w:szCs w:val="20"/>
                <w:color w:val="auto"/>
              </w:rPr>
            </w:pPr>
          </w:p>
        </w:tc>
        <w:tc>
          <w:tcPr>
            <w:tcW w:w="6620" w:type="dxa"/>
            <w:vAlign w:val="bottom"/>
            <w:gridSpan w:val="3"/>
          </w:tcPr>
          <w:p>
            <w:pPr>
              <w:ind w:left="2680"/>
              <w:spacing w:after="0"/>
              <w:rPr>
                <w:sz w:val="20"/>
                <w:szCs w:val="20"/>
                <w:color w:val="auto"/>
              </w:rPr>
            </w:pPr>
            <w:r>
              <w:rPr>
                <w:rFonts w:ascii="Arial" w:cs="Arial" w:eastAsia="Arial" w:hAnsi="Arial"/>
                <w:sz w:val="18"/>
                <w:szCs w:val="18"/>
                <w:color w:val="auto"/>
              </w:rPr>
              <w:t>89BIO LTD</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440" w:type="dxa"/>
            <w:vAlign w:val="bottom"/>
            <w:gridSpan w:val="2"/>
          </w:tcPr>
          <w:p>
            <w:pPr>
              <w:spacing w:after="0"/>
              <w:rPr>
                <w:sz w:val="20"/>
                <w:szCs w:val="20"/>
                <w:color w:val="auto"/>
              </w:rPr>
            </w:pPr>
            <w:r>
              <w:rPr>
                <w:rFonts w:ascii="Arial" w:cs="Arial" w:eastAsia="Arial" w:hAnsi="Arial"/>
                <w:sz w:val="18"/>
                <w:szCs w:val="18"/>
                <w:color w:val="auto"/>
              </w:rPr>
              <w:t>/s/ Rohan Palekar</w:t>
            </w:r>
          </w:p>
        </w:tc>
        <w:tc>
          <w:tcPr>
            <w:tcW w:w="320" w:type="dxa"/>
            <w:vAlign w:val="bottom"/>
          </w:tcPr>
          <w:p>
            <w:pPr>
              <w:spacing w:after="0"/>
              <w:rPr>
                <w:sz w:val="24"/>
                <w:szCs w:val="24"/>
                <w:color w:val="auto"/>
              </w:rPr>
            </w:pPr>
          </w:p>
        </w:tc>
        <w:tc>
          <w:tcPr>
            <w:tcW w:w="3220" w:type="dxa"/>
            <w:vAlign w:val="bottom"/>
          </w:tcPr>
          <w:p>
            <w:pPr>
              <w:ind w:left="2680"/>
              <w:spacing w:after="0"/>
              <w:rPr>
                <w:sz w:val="20"/>
                <w:szCs w:val="20"/>
                <w:color w:val="auto"/>
              </w:rPr>
            </w:pPr>
            <w:r>
              <w:rPr>
                <w:rFonts w:ascii="Arial" w:cs="Arial" w:eastAsia="Arial" w:hAnsi="Arial"/>
                <w:sz w:val="18"/>
                <w:szCs w:val="18"/>
                <w:color w:val="auto"/>
              </w:rPr>
              <w:t>By</w:t>
            </w:r>
          </w:p>
        </w:tc>
        <w:tc>
          <w:tcPr>
            <w:tcW w:w="3400" w:type="dxa"/>
            <w:vAlign w:val="bottom"/>
            <w:gridSpan w:val="2"/>
          </w:tcPr>
          <w:p>
            <w:pPr>
              <w:ind w:left="60"/>
              <w:spacing w:after="0"/>
              <w:rPr>
                <w:sz w:val="20"/>
                <w:szCs w:val="20"/>
                <w:color w:val="auto"/>
              </w:rPr>
            </w:pPr>
            <w:r>
              <w:rPr>
                <w:rFonts w:ascii="Arial" w:cs="Arial" w:eastAsia="Arial" w:hAnsi="Arial"/>
                <w:sz w:val="18"/>
                <w:szCs w:val="18"/>
                <w:color w:val="auto"/>
              </w:rPr>
              <w:t>/s/ Rohan Palekar</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Rohan Palekar</w:t>
            </w:r>
          </w:p>
        </w:tc>
        <w:tc>
          <w:tcPr>
            <w:tcW w:w="320" w:type="dxa"/>
            <w:vAlign w:val="bottom"/>
          </w:tcPr>
          <w:p>
            <w:pPr>
              <w:spacing w:after="0"/>
              <w:rPr>
                <w:sz w:val="18"/>
                <w:szCs w:val="18"/>
                <w:color w:val="auto"/>
              </w:rPr>
            </w:pPr>
          </w:p>
        </w:tc>
        <w:tc>
          <w:tcPr>
            <w:tcW w:w="3220" w:type="dxa"/>
            <w:vAlign w:val="bottom"/>
          </w:tcPr>
          <w:p>
            <w:pPr>
              <w:ind w:left="2680"/>
              <w:spacing w:after="0"/>
              <w:rPr>
                <w:sz w:val="20"/>
                <w:szCs w:val="20"/>
                <w:color w:val="auto"/>
              </w:rPr>
            </w:pPr>
            <w:r>
              <w:rPr>
                <w:rFonts w:ascii="Arial" w:cs="Arial" w:eastAsia="Arial" w:hAnsi="Arial"/>
                <w:sz w:val="18"/>
                <w:szCs w:val="18"/>
                <w:color w:val="auto"/>
                <w:w w:val="98"/>
              </w:rPr>
              <w:t>Name:</w:t>
            </w:r>
          </w:p>
        </w:tc>
        <w:tc>
          <w:tcPr>
            <w:tcW w:w="60" w:type="dxa"/>
            <w:vAlign w:val="bottom"/>
          </w:tcPr>
          <w:p>
            <w:pPr>
              <w:spacing w:after="0"/>
              <w:rPr>
                <w:sz w:val="18"/>
                <w:szCs w:val="18"/>
                <w:color w:val="auto"/>
              </w:rPr>
            </w:pPr>
          </w:p>
        </w:tc>
        <w:tc>
          <w:tcPr>
            <w:tcW w:w="3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Rohan Palekar</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320" w:type="dxa"/>
            <w:vAlign w:val="bottom"/>
          </w:tcPr>
          <w:p>
            <w:pPr>
              <w:spacing w:after="0"/>
              <w:rPr>
                <w:sz w:val="20"/>
                <w:szCs w:val="20"/>
                <w:color w:val="auto"/>
              </w:rPr>
            </w:pPr>
          </w:p>
        </w:tc>
        <w:tc>
          <w:tcPr>
            <w:tcW w:w="3220" w:type="dxa"/>
            <w:vAlign w:val="bottom"/>
          </w:tcPr>
          <w:p>
            <w:pPr>
              <w:ind w:left="2680"/>
              <w:spacing w:after="0"/>
              <w:rPr>
                <w:sz w:val="20"/>
                <w:szCs w:val="20"/>
                <w:color w:val="auto"/>
              </w:rPr>
            </w:pPr>
            <w:r>
              <w:rPr>
                <w:rFonts w:ascii="Arial" w:cs="Arial" w:eastAsia="Arial" w:hAnsi="Arial"/>
                <w:sz w:val="18"/>
                <w:szCs w:val="18"/>
                <w:color w:val="auto"/>
              </w:rPr>
              <w:t>Title:</w:t>
            </w:r>
          </w:p>
        </w:tc>
        <w:tc>
          <w:tcPr>
            <w:tcW w:w="3400" w:type="dxa"/>
            <w:vAlign w:val="bottom"/>
            <w:gridSpan w:val="2"/>
          </w:tcPr>
          <w:p>
            <w:pPr>
              <w:ind w:left="60"/>
              <w:spacing w:after="0"/>
              <w:rPr>
                <w:sz w:val="20"/>
                <w:szCs w:val="20"/>
                <w:color w:val="auto"/>
              </w:rPr>
            </w:pPr>
            <w:r>
              <w:rPr>
                <w:rFonts w:ascii="Arial" w:cs="Arial" w:eastAsia="Arial" w:hAnsi="Arial"/>
                <w:sz w:val="18"/>
                <w:szCs w:val="18"/>
                <w:color w:val="auto"/>
              </w:rPr>
              <w:t>Chief Executive Officer</w:t>
            </w:r>
          </w:p>
        </w:tc>
      </w:tr>
      <w:tr>
        <w:trPr>
          <w:trHeight w:val="459"/>
        </w:trPr>
        <w:tc>
          <w:tcPr>
            <w:tcW w:w="4080" w:type="dxa"/>
            <w:vAlign w:val="bottom"/>
            <w:gridSpan w:val="3"/>
          </w:tcPr>
          <w:p>
            <w:pPr>
              <w:spacing w:after="0"/>
              <w:rPr>
                <w:sz w:val="20"/>
                <w:szCs w:val="20"/>
                <w:color w:val="auto"/>
              </w:rPr>
            </w:pPr>
            <w:r>
              <w:rPr>
                <w:rFonts w:ascii="Arial" w:cs="Arial" w:eastAsia="Arial" w:hAnsi="Arial"/>
                <w:sz w:val="18"/>
                <w:szCs w:val="18"/>
                <w:color w:val="auto"/>
              </w:rPr>
              <w:t>89BIO MANAGEMENT, INC</w:t>
            </w:r>
          </w:p>
        </w:tc>
        <w:tc>
          <w:tcPr>
            <w:tcW w:w="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Rohan Palekar</w:t>
            </w:r>
          </w:p>
        </w:tc>
        <w:tc>
          <w:tcPr>
            <w:tcW w:w="320" w:type="dxa"/>
            <w:vAlign w:val="bottom"/>
            <w:tcBorders>
              <w:bottom w:val="single" w:sz="8" w:color="auto"/>
            </w:tcBorders>
          </w:tcPr>
          <w:p>
            <w:pPr>
              <w:spacing w:after="0"/>
              <w:rPr>
                <w:sz w:val="24"/>
                <w:szCs w:val="24"/>
                <w:color w:val="auto"/>
              </w:rPr>
            </w:pPr>
          </w:p>
        </w:tc>
        <w:tc>
          <w:tcPr>
            <w:tcW w:w="3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Rohan Palekar</w:t>
            </w:r>
          </w:p>
        </w:tc>
        <w:tc>
          <w:tcPr>
            <w:tcW w:w="3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432"/>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COLLATERAL AGENT AND LENDER:</w:t>
            </w:r>
          </w:p>
        </w:tc>
        <w:tc>
          <w:tcPr>
            <w:tcW w:w="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32"/>
        </w:trPr>
        <w:tc>
          <w:tcPr>
            <w:tcW w:w="4080" w:type="dxa"/>
            <w:vAlign w:val="bottom"/>
            <w:gridSpan w:val="3"/>
          </w:tcPr>
          <w:p>
            <w:pPr>
              <w:spacing w:after="0"/>
              <w:rPr>
                <w:sz w:val="20"/>
                <w:szCs w:val="20"/>
                <w:color w:val="auto"/>
              </w:rPr>
            </w:pPr>
            <w:r>
              <w:rPr>
                <w:rFonts w:ascii="Arial" w:cs="Arial" w:eastAsia="Arial" w:hAnsi="Arial"/>
                <w:sz w:val="18"/>
                <w:szCs w:val="18"/>
                <w:color w:val="auto"/>
              </w:rPr>
              <w:t>SILICON VALLEY BANK</w:t>
            </w:r>
          </w:p>
        </w:tc>
        <w:tc>
          <w:tcPr>
            <w:tcW w:w="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Shawn Parry</w:t>
            </w:r>
          </w:p>
        </w:tc>
        <w:tc>
          <w:tcPr>
            <w:tcW w:w="320" w:type="dxa"/>
            <w:vAlign w:val="bottom"/>
            <w:tcBorders>
              <w:bottom w:val="single" w:sz="8" w:color="auto"/>
            </w:tcBorders>
          </w:tcPr>
          <w:p>
            <w:pPr>
              <w:spacing w:after="0"/>
              <w:rPr>
                <w:sz w:val="24"/>
                <w:szCs w:val="24"/>
                <w:color w:val="auto"/>
              </w:rPr>
            </w:pPr>
          </w:p>
        </w:tc>
        <w:tc>
          <w:tcPr>
            <w:tcW w:w="3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Shawn Parry</w:t>
            </w:r>
          </w:p>
        </w:tc>
        <w:tc>
          <w:tcPr>
            <w:tcW w:w="3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Managing Director</w:t>
            </w:r>
          </w:p>
        </w:tc>
        <w:tc>
          <w:tcPr>
            <w:tcW w:w="3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tcPr>
          <w:p>
            <w:pPr>
              <w:spacing w:after="0"/>
              <w:rPr>
                <w:sz w:val="20"/>
                <w:szCs w:val="20"/>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Loan and Security Agreement</w:t>
      </w:r>
      <w:r>
        <w:rPr>
          <w:rFonts w:ascii="Arial" w:cs="Arial" w:eastAsia="Arial" w:hAnsi="Arial"/>
          <w:sz w:val="18"/>
          <w:szCs w:val="18"/>
          <w:b w:val="1"/>
          <w:bCs w:val="1"/>
          <w:color w:val="auto"/>
        </w:rPr>
        <w:t>]</w:t>
      </w:r>
    </w:p>
    <w:p>
      <w:pPr>
        <w:sectPr>
          <w:pgSz w:w="11900" w:h="16838" w:orient="portrait"/>
          <w:cols w:equalWidth="0" w:num="1">
            <w:col w:w="11020"/>
          </w:cols>
          <w:pgMar w:left="440" w:top="270" w:right="43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Lender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Lender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Lender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jc w:val="center"/>
        <w:ind w:right="4400"/>
        <w:spacing w:after="0"/>
        <w:rPr>
          <w:sz w:val="20"/>
          <w:szCs w:val="20"/>
          <w:color w:val="auto"/>
        </w:rPr>
      </w:pPr>
      <w:r>
        <w:rPr>
          <w:rFonts w:ascii="Arial" w:cs="Arial" w:eastAsia="Arial" w:hAnsi="Arial"/>
          <w:sz w:val="18"/>
          <w:szCs w:val="18"/>
          <w:b w:val="1"/>
          <w:bCs w:val="1"/>
          <w:color w:val="auto"/>
        </w:rPr>
        <w:t>SCHEDULE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-213360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9" w:lineRule="exact"/>
        <w:rPr>
          <w:sz w:val="20"/>
          <w:szCs w:val="20"/>
          <w:color w:val="auto"/>
        </w:rPr>
      </w:pPr>
    </w:p>
    <w:p>
      <w:pPr>
        <w:jc w:val="center"/>
        <w:ind w:right="4400"/>
        <w:spacing w:after="0"/>
        <w:rPr>
          <w:sz w:val="20"/>
          <w:szCs w:val="20"/>
          <w:color w:val="auto"/>
        </w:rPr>
      </w:pPr>
      <w:r>
        <w:rPr>
          <w:rFonts w:ascii="Arial" w:cs="Arial" w:eastAsia="Arial" w:hAnsi="Arial"/>
          <w:sz w:val="17"/>
          <w:szCs w:val="17"/>
          <w:u w:val="single" w:color="auto"/>
          <w:color w:val="auto"/>
        </w:rPr>
        <w:t>Lenders and Commitments</w:t>
      </w:r>
    </w:p>
    <w:p>
      <w:pPr>
        <w:spacing w:after="0" w:line="2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Term A Loan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1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4"/>
              </w:rPr>
              <w:t>Term Loan Commitment</w:t>
            </w:r>
          </w:p>
        </w:tc>
        <w:tc>
          <w:tcPr>
            <w:tcW w:w="840" w:type="dxa"/>
            <w:vAlign w:val="bottom"/>
          </w:tcPr>
          <w:p>
            <w:pPr>
              <w:spacing w:after="0"/>
              <w:rPr>
                <w:sz w:val="14"/>
                <w:szCs w:val="14"/>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Commitment Percentage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40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10,000,000.00</w:t>
            </w:r>
          </w:p>
        </w:tc>
        <w:tc>
          <w:tcPr>
            <w:tcW w:w="840" w:type="dxa"/>
            <w:vAlign w:val="bottom"/>
          </w:tcPr>
          <w:p>
            <w:pPr>
              <w:spacing w:after="0"/>
              <w:rPr>
                <w:sz w:val="18"/>
                <w:szCs w:val="18"/>
                <w:color w:val="auto"/>
              </w:rPr>
            </w:pPr>
          </w:p>
        </w:tc>
        <w:tc>
          <w:tcPr>
            <w:tcW w:w="1720" w:type="dxa"/>
            <w:vAlign w:val="bottom"/>
            <w:gridSpan w:val="2"/>
          </w:tcPr>
          <w:p>
            <w:pPr>
              <w:ind w:left="1040"/>
              <w:spacing w:after="0"/>
              <w:rPr>
                <w:sz w:val="20"/>
                <w:szCs w:val="20"/>
                <w:color w:val="auto"/>
              </w:rPr>
            </w:pPr>
            <w:r>
              <w:rPr>
                <w:rFonts w:ascii="Arial" w:cs="Arial" w:eastAsia="Arial" w:hAnsi="Arial"/>
                <w:sz w:val="18"/>
                <w:szCs w:val="18"/>
                <w:color w:val="auto"/>
                <w:w w:val="92"/>
              </w:rPr>
              <w:t>100.00%</w:t>
            </w: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0" w:type="dxa"/>
            <w:vAlign w:val="bottom"/>
            <w:vMerge w:val="continue"/>
          </w:tcPr>
          <w:p>
            <w:pPr>
              <w:spacing w:after="0"/>
              <w:rPr>
                <w:sz w:val="19"/>
                <w:szCs w:val="19"/>
                <w:color w:val="auto"/>
              </w:rPr>
            </w:pPr>
          </w:p>
        </w:tc>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15,000,000.00</w:t>
            </w:r>
          </w:p>
        </w:tc>
        <w:tc>
          <w:tcPr>
            <w:tcW w:w="840" w:type="dxa"/>
            <w:vAlign w:val="bottom"/>
          </w:tcPr>
          <w:p>
            <w:pPr>
              <w:spacing w:after="0"/>
              <w:rPr>
                <w:sz w:val="19"/>
                <w:szCs w:val="19"/>
                <w:color w:val="auto"/>
              </w:rPr>
            </w:pPr>
          </w:p>
        </w:tc>
        <w:tc>
          <w:tcPr>
            <w:tcW w:w="1720" w:type="dxa"/>
            <w:vAlign w:val="bottom"/>
            <w:gridSpan w:val="2"/>
          </w:tcPr>
          <w:p>
            <w:pPr>
              <w:ind w:left="1040"/>
              <w:spacing w:after="0"/>
              <w:rPr>
                <w:sz w:val="20"/>
                <w:szCs w:val="20"/>
                <w:color w:val="auto"/>
              </w:rPr>
            </w:pPr>
            <w:r>
              <w:rPr>
                <w:rFonts w:ascii="Arial" w:cs="Arial" w:eastAsia="Arial" w:hAnsi="Arial"/>
                <w:sz w:val="18"/>
                <w:szCs w:val="18"/>
                <w:b w:val="1"/>
                <w:bCs w:val="1"/>
                <w:color w:val="auto"/>
                <w:w w:val="92"/>
              </w:rPr>
              <w:t>100.00%</w:t>
            </w:r>
          </w:p>
        </w:tc>
        <w:tc>
          <w:tcPr>
            <w:tcW w:w="0" w:type="dxa"/>
            <w:vAlign w:val="bottom"/>
          </w:tcPr>
          <w:p>
            <w:pPr>
              <w:spacing w:after="0"/>
              <w:rPr>
                <w:sz w:val="1"/>
                <w:szCs w:val="1"/>
                <w:color w:val="auto"/>
              </w:rPr>
            </w:pPr>
          </w:p>
        </w:tc>
      </w:tr>
      <w:tr>
        <w:trPr>
          <w:trHeight w:val="439"/>
        </w:trPr>
        <w:tc>
          <w:tcPr>
            <w:tcW w:w="240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Term B Loan</w:t>
            </w:r>
          </w:p>
        </w:tc>
        <w:tc>
          <w:tcPr>
            <w:tcW w:w="300" w:type="dxa"/>
            <w:vAlign w:val="bottom"/>
            <w:tcBorders>
              <w:top w:val="single" w:sz="8" w:color="auto"/>
            </w:tcBorders>
            <w:gridSpan w:val="2"/>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Term Loan Commitment</w:t>
            </w:r>
          </w:p>
        </w:tc>
        <w:tc>
          <w:tcPr>
            <w:tcW w:w="840" w:type="dxa"/>
            <w:vAlign w:val="bottom"/>
          </w:tcPr>
          <w:p>
            <w:pPr>
              <w:spacing w:after="0"/>
              <w:rPr>
                <w:sz w:val="24"/>
                <w:szCs w:val="24"/>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Commitment Percentage</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40" w:type="dxa"/>
            <w:vAlign w:val="bottom"/>
            <w:gridSpan w:val="2"/>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5,000,000.00</w:t>
            </w:r>
          </w:p>
        </w:tc>
        <w:tc>
          <w:tcPr>
            <w:tcW w:w="840" w:type="dxa"/>
            <w:vAlign w:val="bottom"/>
          </w:tcPr>
          <w:p>
            <w:pPr>
              <w:spacing w:after="0"/>
              <w:rPr>
                <w:sz w:val="18"/>
                <w:szCs w:val="18"/>
                <w:color w:val="auto"/>
              </w:rPr>
            </w:pPr>
          </w:p>
        </w:tc>
        <w:tc>
          <w:tcPr>
            <w:tcW w:w="1720" w:type="dxa"/>
            <w:vAlign w:val="bottom"/>
            <w:gridSpan w:val="2"/>
          </w:tcPr>
          <w:p>
            <w:pPr>
              <w:ind w:left="1040"/>
              <w:spacing w:after="0"/>
              <w:rPr>
                <w:sz w:val="20"/>
                <w:szCs w:val="20"/>
                <w:color w:val="auto"/>
              </w:rPr>
            </w:pPr>
            <w:r>
              <w:rPr>
                <w:rFonts w:ascii="Arial" w:cs="Arial" w:eastAsia="Arial" w:hAnsi="Arial"/>
                <w:sz w:val="18"/>
                <w:szCs w:val="18"/>
                <w:color w:val="auto"/>
                <w:w w:val="92"/>
              </w:rPr>
              <w:t>100.00%</w:t>
            </w:r>
          </w:p>
        </w:tc>
        <w:tc>
          <w:tcPr>
            <w:tcW w:w="0" w:type="dxa"/>
            <w:vAlign w:val="bottom"/>
          </w:tcPr>
          <w:p>
            <w:pPr>
              <w:spacing w:after="0"/>
              <w:rPr>
                <w:sz w:val="1"/>
                <w:szCs w:val="1"/>
                <w:color w:val="auto"/>
              </w:rPr>
            </w:pPr>
          </w:p>
        </w:tc>
      </w:tr>
      <w:tr>
        <w:trPr>
          <w:trHeight w:val="20"/>
        </w:trPr>
        <w:tc>
          <w:tcPr>
            <w:tcW w:w="2440" w:type="dxa"/>
            <w:vAlign w:val="bottom"/>
            <w:gridSpan w:val="2"/>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left w:val="single" w:sz="8" w:color="auto"/>
            </w:tcBorders>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40" w:type="dxa"/>
            <w:vAlign w:val="bottom"/>
            <w:gridSpan w:val="2"/>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5,000,000.00</w:t>
            </w:r>
          </w:p>
        </w:tc>
        <w:tc>
          <w:tcPr>
            <w:tcW w:w="840" w:type="dxa"/>
            <w:vAlign w:val="bottom"/>
          </w:tcPr>
          <w:p>
            <w:pPr>
              <w:spacing w:after="0"/>
              <w:rPr>
                <w:sz w:val="19"/>
                <w:szCs w:val="19"/>
                <w:color w:val="auto"/>
              </w:rPr>
            </w:pPr>
          </w:p>
        </w:tc>
        <w:tc>
          <w:tcPr>
            <w:tcW w:w="1720" w:type="dxa"/>
            <w:vAlign w:val="bottom"/>
            <w:gridSpan w:val="2"/>
          </w:tcPr>
          <w:p>
            <w:pPr>
              <w:ind w:left="1040"/>
              <w:spacing w:after="0"/>
              <w:rPr>
                <w:sz w:val="20"/>
                <w:szCs w:val="20"/>
                <w:color w:val="auto"/>
              </w:rPr>
            </w:pPr>
            <w:r>
              <w:rPr>
                <w:rFonts w:ascii="Arial" w:cs="Arial" w:eastAsia="Arial" w:hAnsi="Arial"/>
                <w:sz w:val="18"/>
                <w:szCs w:val="18"/>
                <w:b w:val="1"/>
                <w:bCs w:val="1"/>
                <w:color w:val="auto"/>
                <w:w w:val="92"/>
              </w:rPr>
              <w:t>100.00%</w:t>
            </w:r>
          </w:p>
        </w:tc>
        <w:tc>
          <w:tcPr>
            <w:tcW w:w="0" w:type="dxa"/>
            <w:vAlign w:val="bottom"/>
          </w:tcPr>
          <w:p>
            <w:pPr>
              <w:spacing w:after="0"/>
              <w:rPr>
                <w:sz w:val="1"/>
                <w:szCs w:val="1"/>
                <w:color w:val="auto"/>
              </w:rPr>
            </w:pPr>
          </w:p>
        </w:tc>
      </w:tr>
      <w:tr>
        <w:trPr>
          <w:trHeight w:val="439"/>
        </w:trPr>
        <w:tc>
          <w:tcPr>
            <w:tcW w:w="2440" w:type="dxa"/>
            <w:vAlign w:val="bottom"/>
            <w:gridSpan w:val="2"/>
          </w:tcPr>
          <w:p>
            <w:pPr>
              <w:jc w:val="center"/>
              <w:ind w:right="236"/>
              <w:spacing w:after="0"/>
              <w:rPr>
                <w:sz w:val="20"/>
                <w:szCs w:val="20"/>
                <w:color w:val="auto"/>
              </w:rPr>
            </w:pPr>
            <w:r>
              <w:rPr>
                <w:rFonts w:ascii="Arial" w:cs="Arial" w:eastAsia="Arial" w:hAnsi="Arial"/>
                <w:sz w:val="18"/>
                <w:szCs w:val="18"/>
                <w:b w:val="1"/>
                <w:bCs w:val="1"/>
                <w:color w:val="auto"/>
                <w:w w:val="90"/>
              </w:rPr>
              <w:t>Aggregate (all Term Loans)</w:t>
            </w: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00" w:type="dxa"/>
            <w:vAlign w:val="bottom"/>
          </w:tcPr>
          <w:p>
            <w:pPr>
              <w:spacing w:after="0"/>
              <w:rPr>
                <w:sz w:val="24"/>
                <w:szCs w:val="24"/>
                <w:color w:val="auto"/>
              </w:rPr>
            </w:pPr>
          </w:p>
        </w:tc>
        <w:tc>
          <w:tcPr>
            <w:tcW w:w="1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4"/>
              </w:rPr>
              <w:t>Term Loan Commitment</w:t>
            </w:r>
          </w:p>
        </w:tc>
        <w:tc>
          <w:tcPr>
            <w:tcW w:w="840" w:type="dxa"/>
            <w:vAlign w:val="bottom"/>
          </w:tcPr>
          <w:p>
            <w:pPr>
              <w:spacing w:after="0"/>
              <w:rPr>
                <w:sz w:val="24"/>
                <w:szCs w:val="24"/>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Commitment Percentage</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40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15,000,000.00</w:t>
            </w:r>
          </w:p>
        </w:tc>
        <w:tc>
          <w:tcPr>
            <w:tcW w:w="840" w:type="dxa"/>
            <w:vAlign w:val="bottom"/>
          </w:tcPr>
          <w:p>
            <w:pPr>
              <w:spacing w:after="0"/>
              <w:rPr>
                <w:sz w:val="18"/>
                <w:szCs w:val="18"/>
                <w:color w:val="auto"/>
              </w:rPr>
            </w:pPr>
          </w:p>
        </w:tc>
        <w:tc>
          <w:tcPr>
            <w:tcW w:w="1720" w:type="dxa"/>
            <w:vAlign w:val="bottom"/>
            <w:gridSpan w:val="2"/>
          </w:tcPr>
          <w:p>
            <w:pPr>
              <w:ind w:left="1040"/>
              <w:spacing w:after="0"/>
              <w:rPr>
                <w:sz w:val="20"/>
                <w:szCs w:val="20"/>
                <w:color w:val="auto"/>
              </w:rPr>
            </w:pPr>
            <w:r>
              <w:rPr>
                <w:rFonts w:ascii="Arial" w:cs="Arial" w:eastAsia="Arial" w:hAnsi="Arial"/>
                <w:sz w:val="18"/>
                <w:szCs w:val="18"/>
                <w:color w:val="auto"/>
                <w:w w:val="92"/>
              </w:rPr>
              <w:t>100.00%</w:t>
            </w: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0" w:type="dxa"/>
            <w:vAlign w:val="bottom"/>
            <w:vMerge w:val="continue"/>
          </w:tcPr>
          <w:p>
            <w:pPr>
              <w:spacing w:after="0"/>
              <w:rPr>
                <w:sz w:val="19"/>
                <w:szCs w:val="19"/>
                <w:color w:val="auto"/>
              </w:rPr>
            </w:pPr>
          </w:p>
        </w:tc>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15,000,000.00</w:t>
            </w:r>
          </w:p>
        </w:tc>
        <w:tc>
          <w:tcPr>
            <w:tcW w:w="840" w:type="dxa"/>
            <w:vAlign w:val="bottom"/>
          </w:tcPr>
          <w:p>
            <w:pPr>
              <w:spacing w:after="0"/>
              <w:rPr>
                <w:sz w:val="19"/>
                <w:szCs w:val="19"/>
                <w:color w:val="auto"/>
              </w:rPr>
            </w:pPr>
          </w:p>
        </w:tc>
        <w:tc>
          <w:tcPr>
            <w:tcW w:w="1720" w:type="dxa"/>
            <w:vAlign w:val="bottom"/>
            <w:gridSpan w:val="2"/>
          </w:tcPr>
          <w:p>
            <w:pPr>
              <w:ind w:left="1040"/>
              <w:spacing w:after="0"/>
              <w:rPr>
                <w:sz w:val="20"/>
                <w:szCs w:val="20"/>
                <w:color w:val="auto"/>
              </w:rPr>
            </w:pPr>
            <w:r>
              <w:rPr>
                <w:rFonts w:ascii="Arial" w:cs="Arial" w:eastAsia="Arial" w:hAnsi="Arial"/>
                <w:sz w:val="18"/>
                <w:szCs w:val="18"/>
                <w:b w:val="1"/>
                <w:bCs w:val="1"/>
                <w:color w:val="auto"/>
                <w:w w:val="92"/>
              </w:rPr>
              <w:t>100.00%</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-2005330</wp:posOffset>
            </wp:positionV>
            <wp:extent cx="699516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45415"/>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-1156970</wp:posOffset>
            </wp:positionV>
            <wp:extent cx="699516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4605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-307975</wp:posOffset>
            </wp:positionV>
            <wp:extent cx="699516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ectPr>
          <w:pgSz w:w="11900" w:h="16838" w:orient="portrait"/>
          <w:cols w:equalWidth="0" w:num="2">
            <w:col w:w="3720" w:space="720"/>
            <w:col w:w="6520"/>
          </w:cols>
          <w:pgMar w:left="440" w:top="270" w:right="499" w:bottom="1440" w:gutter="0" w:footer="0" w:header="0"/>
        </w:sectPr>
      </w:pPr>
    </w:p>
    <w:bookmarkStart w:id="55" w:name="page56"/>
    <w:bookmarkEnd w:id="5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Description of Collateral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117" w:lineRule="exact"/>
        <w:rPr>
          <w:sz w:val="20"/>
          <w:szCs w:val="20"/>
          <w:color w:val="auto"/>
        </w:rPr>
      </w:pPr>
    </w:p>
    <w:p>
      <w:pPr>
        <w:ind w:right="240" w:firstLine="440"/>
        <w:spacing w:after="0" w:line="275" w:lineRule="auto"/>
        <w:rPr>
          <w:sz w:val="20"/>
          <w:szCs w:val="20"/>
          <w:color w:val="auto"/>
        </w:rPr>
      </w:pPr>
      <w:r>
        <w:rPr>
          <w:rFonts w:ascii="Arial" w:cs="Arial" w:eastAsia="Arial" w:hAnsi="Arial"/>
          <w:sz w:val="17"/>
          <w:szCs w:val="17"/>
          <w:color w:val="auto"/>
        </w:rPr>
        <w:t>All goods, Accounts (including health-care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76"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Notwithstanding the foregoing, the Collateral does not include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Borrower that are proceeds of the Intellectual Property.</w:t>
      </w:r>
    </w:p>
    <w:p>
      <w:pPr>
        <w:spacing w:after="0" w:line="16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Pursuant to the terms of a certain negative pledge arrangement with Collateral Agent and the Lenders, Borrower has agreed not to encumber any of its Intellectual Property.</w:t>
      </w:r>
    </w:p>
    <w:p>
      <w:pPr>
        <w:sectPr>
          <w:pgSz w:w="11900" w:h="16838" w:orient="portrait"/>
          <w:cols w:equalWidth="0" w:num="1">
            <w:col w:w="10920"/>
          </w:cols>
          <w:pgMar w:left="440" w:top="270" w:right="5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80" w:type="dxa"/>
            <w:vAlign w:val="bottom"/>
            <w:gridSpan w:val="5"/>
          </w:tcPr>
          <w:p>
            <w:pPr>
              <w:jc w:val="center"/>
              <w:ind w:right="2220"/>
              <w:spacing w:after="0"/>
              <w:rPr>
                <w:sz w:val="20"/>
                <w:szCs w:val="20"/>
                <w:color w:val="auto"/>
              </w:rPr>
            </w:pPr>
            <w:r>
              <w:rPr>
                <w:rFonts w:ascii="Arial" w:cs="Arial" w:eastAsia="Arial" w:hAnsi="Arial"/>
                <w:sz w:val="18"/>
                <w:szCs w:val="18"/>
                <w:b w:val="1"/>
                <w:bCs w:val="1"/>
                <w:color w:val="auto"/>
              </w:rPr>
              <w:t>EXHIBIT B</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20" w:type="dxa"/>
            <w:vAlign w:val="bottom"/>
            <w:gridSpan w:val="6"/>
          </w:tcPr>
          <w:p>
            <w:pPr>
              <w:jc w:val="center"/>
              <w:ind w:right="1900"/>
              <w:spacing w:after="0"/>
              <w:rPr>
                <w:sz w:val="20"/>
                <w:szCs w:val="20"/>
                <w:color w:val="auto"/>
              </w:rPr>
            </w:pPr>
            <w:r>
              <w:rPr>
                <w:rFonts w:ascii="Arial" w:cs="Arial" w:eastAsia="Arial" w:hAnsi="Arial"/>
                <w:sz w:val="18"/>
                <w:szCs w:val="18"/>
                <w:color w:val="auto"/>
                <w:w w:val="90"/>
              </w:rPr>
              <w:t>Loan Payment/Advance Request Form</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900" w:type="dxa"/>
            <w:vAlign w:val="bottom"/>
            <w:gridSpan w:val="9"/>
          </w:tcPr>
          <w:p>
            <w:pPr>
              <w:jc w:val="center"/>
              <w:ind w:right="80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EADLINE FOR SAME DAY PROCESSING IS</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ACIFIC</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IME</w:t>
            </w:r>
            <w:r>
              <w:rPr>
                <w:rFonts w:ascii="Arial" w:cs="Arial" w:eastAsia="Arial" w:hAnsi="Arial"/>
                <w:sz w:val="18"/>
                <w:szCs w:val="18"/>
                <w:b w:val="1"/>
                <w:bCs w:val="1"/>
                <w:color w:val="auto"/>
              </w:rPr>
              <w:t>*</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960" w:type="dxa"/>
            <w:vAlign w:val="bottom"/>
            <w:gridSpan w:val="5"/>
          </w:tcPr>
          <w:p>
            <w:pPr>
              <w:spacing w:after="0"/>
              <w:rPr>
                <w:sz w:val="20"/>
                <w:szCs w:val="20"/>
                <w:color w:val="auto"/>
              </w:rPr>
            </w:pPr>
            <w:r>
              <w:rPr>
                <w:rFonts w:ascii="Arial" w:cs="Arial" w:eastAsia="Arial" w:hAnsi="Arial"/>
                <w:sz w:val="18"/>
                <w:szCs w:val="18"/>
                <w:color w:val="auto"/>
              </w:rPr>
              <w:t>Fax To:</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ind w:left="220"/>
              <w:spacing w:after="0"/>
              <w:rPr>
                <w:sz w:val="20"/>
                <w:szCs w:val="20"/>
                <w:color w:val="auto"/>
              </w:rPr>
            </w:pPr>
            <w:r>
              <w:rPr>
                <w:rFonts w:ascii="Arial" w:cs="Arial" w:eastAsia="Arial" w:hAnsi="Arial"/>
                <w:sz w:val="18"/>
                <w:szCs w:val="18"/>
                <w:color w:val="auto"/>
                <w:w w:val="92"/>
              </w:rPr>
              <w:t>Date:</w:t>
            </w:r>
          </w:p>
        </w:tc>
        <w:tc>
          <w:tcPr>
            <w:tcW w:w="126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960" w:type="dxa"/>
            <w:vAlign w:val="bottom"/>
            <w:gridSpan w:val="5"/>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w:t>
            </w:r>
            <w:r>
              <w:rPr>
                <w:rFonts w:ascii="Arial" w:cs="Arial" w:eastAsia="Arial" w:hAnsi="Arial"/>
                <w:sz w:val="18"/>
                <w:szCs w:val="18"/>
                <w:b w:val="1"/>
                <w:bCs w:val="1"/>
                <w:color w:val="auto"/>
              </w:rPr>
              <w:t>:</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80" w:type="dxa"/>
            <w:vAlign w:val="bottom"/>
            <w:gridSpan w:val="5"/>
            <w:vMerge w:val="restart"/>
          </w:tcPr>
          <w:p>
            <w:pPr>
              <w:ind w:left="2080"/>
              <w:spacing w:after="0"/>
              <w:rPr>
                <w:sz w:val="20"/>
                <w:szCs w:val="20"/>
                <w:color w:val="auto"/>
              </w:rPr>
            </w:pPr>
            <w:r>
              <w:rPr>
                <w:rFonts w:ascii="Arial" w:cs="Arial" w:eastAsia="Arial" w:hAnsi="Arial"/>
                <w:sz w:val="18"/>
                <w:szCs w:val="18"/>
                <w:color w:val="auto"/>
              </w:rPr>
              <w:t>89BIO, INC.</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80" w:type="dxa"/>
            <w:vAlign w:val="bottom"/>
            <w:gridSpan w:val="5"/>
            <w:vMerge w:val="continue"/>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960" w:type="dxa"/>
            <w:vAlign w:val="bottom"/>
            <w:gridSpan w:val="5"/>
          </w:tcPr>
          <w:p>
            <w:pPr>
              <w:spacing w:after="0" w:line="190" w:lineRule="exact"/>
              <w:rPr>
                <w:sz w:val="20"/>
                <w:szCs w:val="20"/>
                <w:color w:val="auto"/>
              </w:rPr>
            </w:pPr>
            <w:r>
              <w:rPr>
                <w:rFonts w:ascii="Arial" w:cs="Arial" w:eastAsia="Arial" w:hAnsi="Arial"/>
                <w:sz w:val="18"/>
                <w:szCs w:val="18"/>
                <w:color w:val="auto"/>
              </w:rPr>
              <w:t>From Account #</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80" w:type="dxa"/>
            <w:vAlign w:val="bottom"/>
            <w:gridSpan w:val="5"/>
          </w:tcPr>
          <w:p>
            <w:pPr>
              <w:ind w:left="1360"/>
              <w:spacing w:after="0" w:line="190" w:lineRule="exact"/>
              <w:rPr>
                <w:sz w:val="20"/>
                <w:szCs w:val="20"/>
                <w:color w:val="auto"/>
              </w:rPr>
            </w:pPr>
            <w:r>
              <w:rPr>
                <w:rFonts w:ascii="Arial" w:cs="Arial" w:eastAsia="Arial" w:hAnsi="Arial"/>
                <w:sz w:val="18"/>
                <w:szCs w:val="18"/>
                <w:color w:val="auto"/>
              </w:rPr>
              <w:t>To Account #</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w w:val="94"/>
              </w:rPr>
              <w:t>(Deposit Account #)</w:t>
            </w:r>
          </w:p>
        </w:tc>
        <w:tc>
          <w:tcPr>
            <w:tcW w:w="6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w w:val="94"/>
              </w:rPr>
              <w:t>(Loan Account #)</w:t>
            </w: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20" w:type="dxa"/>
            <w:vAlign w:val="bottom"/>
          </w:tcPr>
          <w:p>
            <w:pPr>
              <w:spacing w:after="0" w:line="190" w:lineRule="exact"/>
              <w:rPr>
                <w:sz w:val="20"/>
                <w:szCs w:val="20"/>
                <w:color w:val="auto"/>
              </w:rPr>
            </w:pPr>
            <w:r>
              <w:rPr>
                <w:rFonts w:ascii="Arial" w:cs="Arial" w:eastAsia="Arial" w:hAnsi="Arial"/>
                <w:sz w:val="18"/>
                <w:szCs w:val="18"/>
                <w:color w:val="auto"/>
                <w:w w:val="95"/>
              </w:rPr>
              <w:t>Principal $</w:t>
            </w:r>
          </w:p>
        </w:tc>
        <w:tc>
          <w:tcPr>
            <w:tcW w:w="2140" w:type="dxa"/>
            <w:vAlign w:val="bottom"/>
            <w:tcBorders>
              <w:bottom w:val="single" w:sz="8" w:color="auto"/>
            </w:tcBorders>
            <w:gridSpan w:val="4"/>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gridSpan w:val="2"/>
          </w:tcPr>
          <w:p>
            <w:pPr>
              <w:ind w:left="1360"/>
              <w:spacing w:after="0" w:line="190" w:lineRule="exact"/>
              <w:rPr>
                <w:sz w:val="20"/>
                <w:szCs w:val="20"/>
                <w:color w:val="auto"/>
              </w:rPr>
            </w:pPr>
            <w:r>
              <w:rPr>
                <w:rFonts w:ascii="Arial" w:cs="Arial" w:eastAsia="Arial" w:hAnsi="Arial"/>
                <w:sz w:val="18"/>
                <w:szCs w:val="18"/>
                <w:color w:val="auto"/>
                <w:w w:val="91"/>
              </w:rPr>
              <w:t>and/or Interest $</w:t>
            </w:r>
          </w:p>
        </w:tc>
        <w:tc>
          <w:tcPr>
            <w:tcW w:w="1900" w:type="dxa"/>
            <w:vAlign w:val="bottom"/>
            <w:tcBorders>
              <w:bottom w:val="single" w:sz="8" w:color="auto"/>
            </w:tcBorders>
            <w:gridSpan w:val="3"/>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40" w:type="dxa"/>
            <w:vAlign w:val="bottom"/>
            <w:gridSpan w:val="4"/>
          </w:tcPr>
          <w:p>
            <w:pPr>
              <w:spacing w:after="0" w:line="196" w:lineRule="exact"/>
              <w:rPr>
                <w:sz w:val="20"/>
                <w:szCs w:val="20"/>
                <w:color w:val="auto"/>
              </w:rPr>
            </w:pPr>
            <w:r>
              <w:rPr>
                <w:rFonts w:ascii="Arial" w:cs="Arial" w:eastAsia="Arial" w:hAnsi="Arial"/>
                <w:sz w:val="18"/>
                <w:szCs w:val="18"/>
                <w:color w:val="auto"/>
                <w:w w:val="93"/>
              </w:rPr>
              <w:t>Authorized Signature:</w:t>
            </w:r>
          </w:p>
        </w:tc>
        <w:tc>
          <w:tcPr>
            <w:tcW w:w="1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80" w:type="dxa"/>
            <w:vAlign w:val="bottom"/>
            <w:gridSpan w:val="3"/>
          </w:tcPr>
          <w:p>
            <w:pPr>
              <w:ind w:left="1900"/>
              <w:spacing w:after="0" w:line="196" w:lineRule="exact"/>
              <w:rPr>
                <w:sz w:val="20"/>
                <w:szCs w:val="20"/>
                <w:color w:val="auto"/>
              </w:rPr>
            </w:pPr>
            <w:r>
              <w:rPr>
                <w:rFonts w:ascii="Arial" w:cs="Arial" w:eastAsia="Arial" w:hAnsi="Arial"/>
                <w:sz w:val="18"/>
                <w:szCs w:val="18"/>
                <w:color w:val="auto"/>
                <w:w w:val="91"/>
              </w:rPr>
              <w:t>Phone Number:</w:t>
            </w:r>
          </w:p>
        </w:tc>
        <w:tc>
          <w:tcPr>
            <w:tcW w:w="1400" w:type="dxa"/>
            <w:vAlign w:val="bottom"/>
            <w:tcBorders>
              <w:bottom w:val="single" w:sz="8" w:color="auto"/>
            </w:tcBorders>
            <w:gridSpan w:val="2"/>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3"/>
          </w:tcPr>
          <w:p>
            <w:pPr>
              <w:spacing w:after="0" w:line="196" w:lineRule="exact"/>
              <w:rPr>
                <w:sz w:val="20"/>
                <w:szCs w:val="20"/>
                <w:color w:val="auto"/>
              </w:rPr>
            </w:pPr>
            <w:r>
              <w:rPr>
                <w:rFonts w:ascii="Arial" w:cs="Arial" w:eastAsia="Arial" w:hAnsi="Arial"/>
                <w:sz w:val="18"/>
                <w:szCs w:val="18"/>
                <w:color w:val="auto"/>
                <w:w w:val="95"/>
              </w:rPr>
              <w:t>Print Name/Title:</w:t>
            </w:r>
          </w:p>
        </w:tc>
        <w:tc>
          <w:tcPr>
            <w:tcW w:w="1660" w:type="dxa"/>
            <w:vAlign w:val="bottom"/>
            <w:tcBorders>
              <w:bottom w:val="single" w:sz="8" w:color="auto"/>
            </w:tcBorders>
            <w:gridSpan w:val="2"/>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DVANCE</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Complete </w:t>
      </w:r>
      <w:r>
        <w:rPr>
          <w:rFonts w:ascii="Arial" w:cs="Arial" w:eastAsia="Arial" w:hAnsi="Arial"/>
          <w:sz w:val="18"/>
          <w:szCs w:val="18"/>
          <w:i w:val="1"/>
          <w:iCs w:val="1"/>
          <w:color w:val="auto"/>
        </w:rPr>
        <w:t>Outgoing Wire Request</w:t>
      </w:r>
      <w:r>
        <w:rPr>
          <w:rFonts w:ascii="Arial" w:cs="Arial" w:eastAsia="Arial" w:hAnsi="Arial"/>
          <w:sz w:val="18"/>
          <w:szCs w:val="18"/>
          <w:color w:val="auto"/>
        </w:rPr>
        <w:t xml:space="preserve"> section below if all or a portion of the funds from this loan advance are for an outgoing wire.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gridSpan w:val="3"/>
          </w:tcPr>
          <w:p>
            <w:pPr>
              <w:spacing w:after="0"/>
              <w:rPr>
                <w:sz w:val="20"/>
                <w:szCs w:val="20"/>
                <w:color w:val="auto"/>
              </w:rPr>
            </w:pPr>
            <w:r>
              <w:rPr>
                <w:rFonts w:ascii="Arial" w:cs="Arial" w:eastAsia="Arial" w:hAnsi="Arial"/>
                <w:sz w:val="18"/>
                <w:szCs w:val="18"/>
                <w:color w:val="auto"/>
              </w:rPr>
              <w:t>From Account #</w:t>
            </w:r>
          </w:p>
        </w:tc>
        <w:tc>
          <w:tcPr>
            <w:tcW w:w="420" w:type="dxa"/>
            <w:vAlign w:val="bottom"/>
          </w:tcPr>
          <w:p>
            <w:pPr>
              <w:spacing w:after="0"/>
              <w:rPr>
                <w:sz w:val="17"/>
                <w:szCs w:val="17"/>
                <w:color w:val="auto"/>
              </w:rPr>
            </w:pPr>
          </w:p>
        </w:tc>
        <w:tc>
          <w:tcPr>
            <w:tcW w:w="5120" w:type="dxa"/>
            <w:vAlign w:val="bottom"/>
            <w:gridSpan w:val="2"/>
          </w:tcPr>
          <w:p>
            <w:pPr>
              <w:ind w:left="1360"/>
              <w:spacing w:after="0"/>
              <w:rPr>
                <w:sz w:val="20"/>
                <w:szCs w:val="20"/>
                <w:color w:val="auto"/>
              </w:rPr>
            </w:pPr>
            <w:r>
              <w:rPr>
                <w:rFonts w:ascii="Arial" w:cs="Arial" w:eastAsia="Arial" w:hAnsi="Arial"/>
                <w:sz w:val="18"/>
                <w:szCs w:val="18"/>
                <w:color w:val="auto"/>
              </w:rPr>
              <w:t>To Account #</w:t>
            </w:r>
          </w:p>
        </w:tc>
      </w:tr>
      <w:tr>
        <w:trPr>
          <w:trHeight w:val="237"/>
        </w:trPr>
        <w:tc>
          <w:tcPr>
            <w:tcW w:w="1220" w:type="dxa"/>
            <w:vAlign w:val="bottom"/>
          </w:tcPr>
          <w:p>
            <w:pPr>
              <w:spacing w:after="0"/>
              <w:rPr>
                <w:sz w:val="20"/>
                <w:szCs w:val="20"/>
                <w:color w:val="auto"/>
              </w:rPr>
            </w:pPr>
          </w:p>
        </w:tc>
        <w:tc>
          <w:tcPr>
            <w:tcW w:w="274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color w:val="auto"/>
              </w:rPr>
              <w:t>(Loan Account #)</w:t>
            </w:r>
          </w:p>
        </w:tc>
        <w:tc>
          <w:tcPr>
            <w:tcW w:w="4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4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(Deposit Account #)</w:t>
            </w:r>
          </w:p>
        </w:tc>
      </w:tr>
      <w:tr>
        <w:trPr>
          <w:trHeight w:val="283"/>
        </w:trPr>
        <w:tc>
          <w:tcPr>
            <w:tcW w:w="1640" w:type="dxa"/>
            <w:vAlign w:val="bottom"/>
            <w:gridSpan w:val="2"/>
          </w:tcPr>
          <w:p>
            <w:pPr>
              <w:spacing w:after="0"/>
              <w:rPr>
                <w:sz w:val="20"/>
                <w:szCs w:val="20"/>
                <w:color w:val="auto"/>
              </w:rPr>
            </w:pPr>
            <w:r>
              <w:rPr>
                <w:rFonts w:ascii="Arial" w:cs="Arial" w:eastAsia="Arial" w:hAnsi="Arial"/>
                <w:sz w:val="18"/>
                <w:szCs w:val="18"/>
                <w:color w:val="auto"/>
                <w:w w:val="94"/>
              </w:rPr>
              <w:t>Amount of Advance $</w:t>
            </w:r>
          </w:p>
        </w:tc>
        <w:tc>
          <w:tcPr>
            <w:tcW w:w="2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spacing w:after="0"/>
              <w:rPr>
                <w:sz w:val="20"/>
                <w:szCs w:val="20"/>
                <w:color w:val="auto"/>
              </w:rPr>
            </w:pPr>
            <w:r>
              <w:rPr>
                <w:rFonts w:ascii="Arial" w:cs="Arial" w:eastAsia="Arial" w:hAnsi="Arial"/>
                <w:sz w:val="18"/>
                <w:szCs w:val="18"/>
                <w:color w:val="auto"/>
                <w:w w:val="93"/>
              </w:rPr>
              <w:t>Authorized Signature:</w:t>
            </w:r>
          </w:p>
        </w:tc>
        <w:tc>
          <w:tcPr>
            <w:tcW w:w="2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80" w:type="dxa"/>
            <w:vAlign w:val="bottom"/>
          </w:tcPr>
          <w:p>
            <w:pPr>
              <w:ind w:left="1360"/>
              <w:spacing w:after="0"/>
              <w:rPr>
                <w:sz w:val="20"/>
                <w:szCs w:val="20"/>
                <w:color w:val="auto"/>
              </w:rPr>
            </w:pPr>
            <w:r>
              <w:rPr>
                <w:rFonts w:ascii="Arial" w:cs="Arial" w:eastAsia="Arial" w:hAnsi="Arial"/>
                <w:sz w:val="18"/>
                <w:szCs w:val="18"/>
                <w:color w:val="auto"/>
                <w:w w:val="87"/>
              </w:rPr>
              <w:t>Phone Number:</w:t>
            </w: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w w:val="95"/>
              </w:rPr>
              <w:t>Print Name/Title:</w:t>
            </w:r>
          </w:p>
        </w:tc>
        <w:tc>
          <w:tcPr>
            <w:tcW w:w="3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4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4389755</wp:posOffset>
            </wp:positionH>
            <wp:positionV relativeFrom="paragraph">
              <wp:posOffset>-144780</wp:posOffset>
            </wp:positionV>
            <wp:extent cx="17424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UTGOING</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IRE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EQUEST</w:t>
      </w:r>
      <w:r>
        <w:rPr>
          <w:rFonts w:ascii="Arial" w:cs="Arial" w:eastAsia="Arial" w:hAnsi="Arial"/>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Complete only if all or a portion of funds from the loan advance above is to be wired.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Deadline for same day processing is noon, Pacific Time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3"/>
          </w:tcPr>
          <w:p>
            <w:pPr>
              <w:spacing w:after="0"/>
              <w:rPr>
                <w:sz w:val="20"/>
                <w:szCs w:val="20"/>
                <w:color w:val="auto"/>
              </w:rPr>
            </w:pPr>
            <w:r>
              <w:rPr>
                <w:rFonts w:ascii="Arial" w:cs="Arial" w:eastAsia="Arial" w:hAnsi="Arial"/>
                <w:sz w:val="18"/>
                <w:szCs w:val="18"/>
                <w:color w:val="auto"/>
                <w:w w:val="93"/>
              </w:rPr>
              <w:t>Beneficiary Name:</w:t>
            </w:r>
          </w:p>
        </w:tc>
        <w:tc>
          <w:tcPr>
            <w:tcW w:w="2740" w:type="dxa"/>
            <w:vAlign w:val="bottom"/>
            <w:tcBorders>
              <w:bottom w:val="single" w:sz="8" w:color="auto"/>
            </w:tcBorders>
            <w:gridSpan w:val="5"/>
          </w:tcPr>
          <w:p>
            <w:pPr>
              <w:spacing w:after="0"/>
              <w:rPr>
                <w:sz w:val="18"/>
                <w:szCs w:val="18"/>
                <w:color w:val="auto"/>
              </w:rPr>
            </w:pPr>
          </w:p>
        </w:tc>
        <w:tc>
          <w:tcPr>
            <w:tcW w:w="40" w:type="dxa"/>
            <w:vAlign w:val="bottom"/>
          </w:tcPr>
          <w:p>
            <w:pPr>
              <w:spacing w:after="0"/>
              <w:rPr>
                <w:sz w:val="18"/>
                <w:szCs w:val="18"/>
                <w:color w:val="auto"/>
              </w:rPr>
            </w:pPr>
          </w:p>
        </w:tc>
        <w:tc>
          <w:tcPr>
            <w:tcW w:w="2860" w:type="dxa"/>
            <w:vAlign w:val="bottom"/>
            <w:gridSpan w:val="3"/>
          </w:tcPr>
          <w:p>
            <w:pPr>
              <w:ind w:left="1440"/>
              <w:spacing w:after="0"/>
              <w:rPr>
                <w:sz w:val="20"/>
                <w:szCs w:val="20"/>
                <w:color w:val="auto"/>
              </w:rPr>
            </w:pPr>
            <w:r>
              <w:rPr>
                <w:rFonts w:ascii="Arial" w:cs="Arial" w:eastAsia="Arial" w:hAnsi="Arial"/>
                <w:sz w:val="18"/>
                <w:szCs w:val="18"/>
                <w:color w:val="auto"/>
                <w:w w:val="97"/>
              </w:rPr>
              <w:t>Amount of Wire: $</w:t>
            </w:r>
          </w:p>
        </w:tc>
        <w:tc>
          <w:tcPr>
            <w:tcW w:w="2740" w:type="dxa"/>
            <w:vAlign w:val="bottom"/>
            <w:tcBorders>
              <w:bottom w:val="single" w:sz="8" w:color="auto"/>
            </w:tcBorders>
            <w:gridSpan w:val="5"/>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w w:val="95"/>
              </w:rPr>
              <w:t>Beneficiary Bank:</w:t>
            </w:r>
          </w:p>
        </w:tc>
        <w:tc>
          <w:tcPr>
            <w:tcW w:w="2740" w:type="dxa"/>
            <w:vAlign w:val="bottom"/>
            <w:tcBorders>
              <w:bottom w:val="single" w:sz="8" w:color="auto"/>
            </w:tcBorders>
            <w:gridSpan w:val="5"/>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80" w:type="dxa"/>
            <w:vAlign w:val="bottom"/>
            <w:gridSpan w:val="2"/>
          </w:tcPr>
          <w:p>
            <w:pPr>
              <w:ind w:left="1440"/>
              <w:spacing w:after="0" w:line="196" w:lineRule="exact"/>
              <w:rPr>
                <w:sz w:val="20"/>
                <w:szCs w:val="20"/>
                <w:color w:val="auto"/>
              </w:rPr>
            </w:pPr>
            <w:r>
              <w:rPr>
                <w:rFonts w:ascii="Arial" w:cs="Arial" w:eastAsia="Arial" w:hAnsi="Arial"/>
                <w:sz w:val="18"/>
                <w:szCs w:val="18"/>
                <w:color w:val="auto"/>
                <w:w w:val="94"/>
              </w:rPr>
              <w:t>Account Number:</w:t>
            </w:r>
          </w:p>
        </w:tc>
        <w:tc>
          <w:tcPr>
            <w:tcW w:w="2740" w:type="dxa"/>
            <w:vAlign w:val="bottom"/>
            <w:tcBorders>
              <w:bottom w:val="single" w:sz="8" w:color="auto"/>
            </w:tcBorders>
            <w:gridSpan w:val="4"/>
          </w:tcPr>
          <w:p>
            <w:pPr>
              <w:spacing w:after="0"/>
              <w:rPr>
                <w:sz w:val="17"/>
                <w:szCs w:val="17"/>
                <w:color w:val="auto"/>
              </w:rPr>
            </w:pPr>
          </w:p>
        </w:tc>
        <w:tc>
          <w:tcPr>
            <w:tcW w:w="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w w:val="93"/>
              </w:rPr>
              <w:t>City and State:</w:t>
            </w:r>
          </w:p>
        </w:tc>
        <w:tc>
          <w:tcPr>
            <w:tcW w:w="2920" w:type="dxa"/>
            <w:vAlign w:val="bottom"/>
            <w:tcBorders>
              <w:bottom w:val="single" w:sz="8" w:color="auto"/>
            </w:tcBorders>
            <w:gridSpan w:val="5"/>
          </w:tcPr>
          <w:p>
            <w:pPr>
              <w:spacing w:after="0"/>
              <w:rPr>
                <w:sz w:val="17"/>
                <w:szCs w:val="17"/>
                <w:color w:val="auto"/>
              </w:rPr>
            </w:pP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4140" w:type="dxa"/>
            <w:vAlign w:val="bottom"/>
            <w:gridSpan w:val="8"/>
          </w:tcPr>
          <w:p>
            <w:pPr>
              <w:spacing w:after="0" w:line="196" w:lineRule="exact"/>
              <w:rPr>
                <w:sz w:val="20"/>
                <w:szCs w:val="20"/>
                <w:color w:val="auto"/>
              </w:rPr>
            </w:pPr>
            <w:r>
              <w:rPr>
                <w:rFonts w:ascii="Arial" w:cs="Arial" w:eastAsia="Arial" w:hAnsi="Arial"/>
                <w:sz w:val="18"/>
                <w:szCs w:val="18"/>
                <w:color w:val="auto"/>
              </w:rPr>
              <w:t>Beneficiary Bank Transit (ABA) #:</w:t>
            </w:r>
          </w:p>
        </w:tc>
        <w:tc>
          <w:tcPr>
            <w:tcW w:w="40" w:type="dxa"/>
            <w:vAlign w:val="bottom"/>
          </w:tcPr>
          <w:p>
            <w:pPr>
              <w:spacing w:after="0"/>
              <w:rPr>
                <w:sz w:val="17"/>
                <w:szCs w:val="17"/>
                <w:color w:val="auto"/>
              </w:rPr>
            </w:pPr>
          </w:p>
        </w:tc>
        <w:tc>
          <w:tcPr>
            <w:tcW w:w="4960" w:type="dxa"/>
            <w:vAlign w:val="bottom"/>
            <w:gridSpan w:val="4"/>
          </w:tcPr>
          <w:p>
            <w:pPr>
              <w:ind w:left="1440"/>
              <w:spacing w:after="0" w:line="196" w:lineRule="exact"/>
              <w:rPr>
                <w:sz w:val="20"/>
                <w:szCs w:val="20"/>
                <w:color w:val="auto"/>
              </w:rPr>
            </w:pPr>
            <w:r>
              <w:rPr>
                <w:rFonts w:ascii="Arial" w:cs="Arial" w:eastAsia="Arial" w:hAnsi="Arial"/>
                <w:sz w:val="18"/>
                <w:szCs w:val="18"/>
                <w:color w:val="auto"/>
                <w:w w:val="93"/>
              </w:rPr>
              <w:t>Beneficiary Bank Code (Swift, Sort, Chip, etc.):</w:t>
            </w:r>
          </w:p>
        </w:tc>
        <w:tc>
          <w:tcPr>
            <w:tcW w:w="640" w:type="dxa"/>
            <w:vAlign w:val="bottom"/>
            <w:tcBorders>
              <w:bottom w:val="single" w:sz="8" w:color="auto"/>
            </w:tcBorders>
            <w:gridSpan w:val="4"/>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r>
      <w:tr>
        <w:trPr>
          <w:trHeight w:val="222"/>
        </w:trPr>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0" w:type="dxa"/>
            <w:vAlign w:val="bottom"/>
            <w:gridSpan w:val="8"/>
          </w:tcPr>
          <w:p>
            <w:pPr>
              <w:ind w:left="1620"/>
              <w:spacing w:after="0"/>
              <w:rPr>
                <w:sz w:val="20"/>
                <w:szCs w:val="20"/>
                <w:color w:val="auto"/>
              </w:rPr>
            </w:pPr>
            <w:r>
              <w:rPr>
                <w:rFonts w:ascii="Arial" w:cs="Arial" w:eastAsia="Arial" w:hAnsi="Arial"/>
                <w:sz w:val="18"/>
                <w:szCs w:val="18"/>
                <w:b w:val="1"/>
                <w:bCs w:val="1"/>
                <w:color w:val="auto"/>
              </w:rPr>
              <w:t>(For International Wire Only)</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190"/>
        </w:trPr>
        <w:tc>
          <w:tcPr>
            <w:tcW w:w="1440" w:type="dxa"/>
            <w:vAlign w:val="bottom"/>
            <w:gridSpan w:val="4"/>
          </w:tcPr>
          <w:p>
            <w:pPr>
              <w:spacing w:after="0" w:line="190" w:lineRule="exact"/>
              <w:rPr>
                <w:sz w:val="20"/>
                <w:szCs w:val="20"/>
                <w:color w:val="auto"/>
              </w:rPr>
            </w:pPr>
            <w:r>
              <w:rPr>
                <w:rFonts w:ascii="Arial" w:cs="Arial" w:eastAsia="Arial" w:hAnsi="Arial"/>
                <w:sz w:val="18"/>
                <w:szCs w:val="18"/>
                <w:color w:val="auto"/>
                <w:w w:val="93"/>
              </w:rPr>
              <w:t>Intermediary Bank:</w:t>
            </w:r>
          </w:p>
        </w:tc>
        <w:tc>
          <w:tcPr>
            <w:tcW w:w="2700" w:type="dxa"/>
            <w:vAlign w:val="bottom"/>
            <w:tcBorders>
              <w:bottom w:val="single" w:sz="8" w:color="auto"/>
            </w:tcBorders>
            <w:gridSpan w:val="4"/>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720" w:type="dxa"/>
            <w:vAlign w:val="bottom"/>
          </w:tcPr>
          <w:p>
            <w:pPr>
              <w:ind w:left="1440"/>
              <w:spacing w:after="0" w:line="190" w:lineRule="exact"/>
              <w:rPr>
                <w:sz w:val="20"/>
                <w:szCs w:val="20"/>
                <w:color w:val="auto"/>
              </w:rPr>
            </w:pPr>
            <w:r>
              <w:rPr>
                <w:rFonts w:ascii="Arial" w:cs="Arial" w:eastAsia="Arial" w:hAnsi="Arial"/>
                <w:sz w:val="18"/>
                <w:szCs w:val="18"/>
                <w:color w:val="auto"/>
                <w:w w:val="98"/>
              </w:rPr>
              <w:t>Transit (ABA) #:</w:t>
            </w:r>
          </w:p>
        </w:tc>
        <w:tc>
          <w:tcPr>
            <w:tcW w:w="2740" w:type="dxa"/>
            <w:vAlign w:val="bottom"/>
            <w:tcBorders>
              <w:bottom w:val="single" w:sz="8" w:color="auto"/>
            </w:tcBorders>
            <w:gridSpan w:val="4"/>
          </w:tcPr>
          <w:p>
            <w:pPr>
              <w:spacing w:after="0"/>
              <w:rPr>
                <w:sz w:val="16"/>
                <w:szCs w:val="16"/>
                <w:color w:val="auto"/>
              </w:rPr>
            </w:pPr>
          </w:p>
        </w:tc>
        <w:tc>
          <w:tcPr>
            <w:tcW w:w="140" w:type="dxa"/>
            <w:vAlign w:val="bottom"/>
            <w:gridSpan w:val="3"/>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6"/>
        </w:trPr>
        <w:tc>
          <w:tcPr>
            <w:tcW w:w="1600" w:type="dxa"/>
            <w:vAlign w:val="bottom"/>
            <w:gridSpan w:val="5"/>
          </w:tcPr>
          <w:p>
            <w:pPr>
              <w:spacing w:after="0" w:line="196" w:lineRule="exact"/>
              <w:rPr>
                <w:sz w:val="20"/>
                <w:szCs w:val="20"/>
                <w:color w:val="auto"/>
              </w:rPr>
            </w:pPr>
            <w:r>
              <w:rPr>
                <w:rFonts w:ascii="Arial" w:cs="Arial" w:eastAsia="Arial" w:hAnsi="Arial"/>
                <w:sz w:val="18"/>
                <w:szCs w:val="18"/>
                <w:color w:val="auto"/>
                <w:w w:val="93"/>
              </w:rPr>
              <w:t>For Further Credit to:</w:t>
            </w:r>
          </w:p>
        </w:tc>
        <w:tc>
          <w:tcPr>
            <w:tcW w:w="2540" w:type="dxa"/>
            <w:vAlign w:val="bottom"/>
            <w:tcBorders>
              <w:bottom w:val="single" w:sz="8" w:color="auto"/>
            </w:tcBorders>
            <w:gridSpan w:val="3"/>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1440" w:type="dxa"/>
            <w:vAlign w:val="bottom"/>
            <w:gridSpan w:val="4"/>
          </w:tcPr>
          <w:p>
            <w:pPr>
              <w:spacing w:after="0" w:line="196" w:lineRule="exact"/>
              <w:rPr>
                <w:sz w:val="20"/>
                <w:szCs w:val="20"/>
                <w:color w:val="auto"/>
              </w:rPr>
            </w:pPr>
            <w:r>
              <w:rPr>
                <w:rFonts w:ascii="Arial" w:cs="Arial" w:eastAsia="Arial" w:hAnsi="Arial"/>
                <w:sz w:val="18"/>
                <w:szCs w:val="18"/>
                <w:color w:val="auto"/>
                <w:w w:val="93"/>
              </w:rPr>
              <w:t>Special Instruction:</w:t>
            </w:r>
          </w:p>
        </w:tc>
        <w:tc>
          <w:tcPr>
            <w:tcW w:w="2700" w:type="dxa"/>
            <w:vAlign w:val="bottom"/>
            <w:tcBorders>
              <w:bottom w:val="single" w:sz="8" w:color="auto"/>
            </w:tcBorders>
            <w:gridSpan w:val="4"/>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r>
    </w:tbl>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gridSpan w:val="3"/>
          </w:tcPr>
          <w:p>
            <w:pPr>
              <w:spacing w:after="0"/>
              <w:rPr>
                <w:sz w:val="20"/>
                <w:szCs w:val="20"/>
                <w:color w:val="auto"/>
              </w:rPr>
            </w:pPr>
            <w:r>
              <w:rPr>
                <w:rFonts w:ascii="Arial" w:cs="Arial" w:eastAsia="Arial" w:hAnsi="Arial"/>
                <w:sz w:val="18"/>
                <w:szCs w:val="18"/>
                <w:color w:val="auto"/>
                <w:w w:val="93"/>
              </w:rPr>
              <w:t>Authorized Signature:</w:t>
            </w:r>
          </w:p>
        </w:tc>
        <w:tc>
          <w:tcPr>
            <w:tcW w:w="20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40" w:type="dxa"/>
            <w:vAlign w:val="bottom"/>
            <w:gridSpan w:val="3"/>
          </w:tcPr>
          <w:p>
            <w:pPr>
              <w:ind w:left="1240"/>
              <w:spacing w:after="0"/>
              <w:rPr>
                <w:sz w:val="20"/>
                <w:szCs w:val="20"/>
                <w:color w:val="auto"/>
              </w:rPr>
            </w:pPr>
            <w:r>
              <w:rPr>
                <w:rFonts w:ascii="Arial" w:cs="Arial" w:eastAsia="Arial" w:hAnsi="Arial"/>
                <w:sz w:val="18"/>
                <w:szCs w:val="18"/>
                <w:color w:val="auto"/>
                <w:w w:val="93"/>
              </w:rPr>
              <w:t>2</w:t>
            </w:r>
            <w:r>
              <w:rPr>
                <w:rFonts w:ascii="Arial" w:cs="Arial" w:eastAsia="Arial" w:hAnsi="Arial"/>
                <w:sz w:val="15"/>
                <w:szCs w:val="15"/>
                <w:color w:val="auto"/>
                <w:w w:val="93"/>
              </w:rPr>
              <w:t>nd</w:t>
            </w:r>
            <w:r>
              <w:rPr>
                <w:rFonts w:ascii="Arial" w:cs="Arial" w:eastAsia="Arial" w:hAnsi="Arial"/>
                <w:sz w:val="18"/>
                <w:szCs w:val="18"/>
                <w:color w:val="auto"/>
                <w:w w:val="93"/>
              </w:rPr>
              <w:t xml:space="preserve"> Signature (if required):</w:t>
            </w:r>
          </w:p>
        </w:tc>
        <w:tc>
          <w:tcPr>
            <w:tcW w:w="206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r>
      <w:tr>
        <w:trPr>
          <w:trHeight w:val="196"/>
        </w:trPr>
        <w:tc>
          <w:tcPr>
            <w:tcW w:w="1300" w:type="dxa"/>
            <w:vAlign w:val="bottom"/>
            <w:gridSpan w:val="2"/>
          </w:tcPr>
          <w:p>
            <w:pPr>
              <w:spacing w:after="0" w:line="196" w:lineRule="exact"/>
              <w:rPr>
                <w:sz w:val="20"/>
                <w:szCs w:val="20"/>
                <w:color w:val="auto"/>
              </w:rPr>
            </w:pPr>
            <w:r>
              <w:rPr>
                <w:rFonts w:ascii="Arial" w:cs="Arial" w:eastAsia="Arial" w:hAnsi="Arial"/>
                <w:sz w:val="18"/>
                <w:szCs w:val="18"/>
                <w:color w:val="auto"/>
                <w:w w:val="95"/>
              </w:rPr>
              <w:t>Print Name/Title:</w:t>
            </w:r>
          </w:p>
        </w:tc>
        <w:tc>
          <w:tcPr>
            <w:tcW w:w="3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540" w:type="dxa"/>
            <w:vAlign w:val="bottom"/>
            <w:gridSpan w:val="2"/>
          </w:tcPr>
          <w:p>
            <w:pPr>
              <w:ind w:left="1240"/>
              <w:spacing w:after="0" w:line="196" w:lineRule="exact"/>
              <w:rPr>
                <w:sz w:val="20"/>
                <w:szCs w:val="20"/>
                <w:color w:val="auto"/>
              </w:rPr>
            </w:pPr>
            <w:r>
              <w:rPr>
                <w:rFonts w:ascii="Arial" w:cs="Arial" w:eastAsia="Arial" w:hAnsi="Arial"/>
                <w:sz w:val="18"/>
                <w:szCs w:val="18"/>
                <w:color w:val="auto"/>
                <w:w w:val="95"/>
              </w:rPr>
              <w:t>Print Name/Title:</w:t>
            </w:r>
          </w:p>
        </w:tc>
        <w:tc>
          <w:tcPr>
            <w:tcW w:w="2760" w:type="dxa"/>
            <w:vAlign w:val="bottom"/>
            <w:tcBorders>
              <w:bottom w:val="single" w:sz="8" w:color="auto"/>
            </w:tcBorders>
            <w:gridSpan w:val="3"/>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w w:val="91"/>
              </w:rPr>
              <w:t>Telephone #:</w:t>
            </w:r>
          </w:p>
        </w:tc>
        <w:tc>
          <w:tcPr>
            <w:tcW w:w="660" w:type="dxa"/>
            <w:vAlign w:val="bottom"/>
            <w:tcBorders>
              <w:bottom w:val="single" w:sz="8" w:color="auto"/>
            </w:tcBorders>
            <w:gridSpan w:val="2"/>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ind w:left="1240"/>
              <w:spacing w:after="0" w:line="196" w:lineRule="exact"/>
              <w:rPr>
                <w:sz w:val="20"/>
                <w:szCs w:val="20"/>
                <w:color w:val="auto"/>
              </w:rPr>
            </w:pPr>
            <w:r>
              <w:rPr>
                <w:rFonts w:ascii="Arial" w:cs="Arial" w:eastAsia="Arial" w:hAnsi="Arial"/>
                <w:sz w:val="18"/>
                <w:szCs w:val="18"/>
                <w:color w:val="auto"/>
                <w:w w:val="91"/>
              </w:rPr>
              <w:t>Telephone #:</w:t>
            </w:r>
          </w:p>
        </w:tc>
        <w:tc>
          <w:tcPr>
            <w:tcW w:w="2740" w:type="dxa"/>
            <w:vAlign w:val="bottom"/>
            <w:tcBorders>
              <w:bottom w:val="single" w:sz="8" w:color="auto"/>
            </w:tcBorders>
            <w:gridSpan w:val="3"/>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ectPr>
          <w:pgSz w:w="11900" w:h="16838" w:orient="portrait"/>
          <w:cols w:equalWidth="0" w:num="1">
            <w:col w:w="10960"/>
          </w:cols>
          <w:pgMar w:left="440" w:top="270" w:right="499" w:bottom="1440" w:gutter="0" w:footer="0" w:header="0"/>
        </w:sectPr>
      </w:pPr>
    </w:p>
    <w:bookmarkStart w:id="57" w:name="page58"/>
    <w:bookmarkEnd w:id="5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EXHIBIT C</w:t>
            </w:r>
          </w:p>
        </w:tc>
      </w:tr>
      <w:tr>
        <w:trPr>
          <w:trHeight w:val="392"/>
        </w:trPr>
        <w:tc>
          <w:tcPr>
            <w:tcW w:w="7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Compliance Certificate</w:t>
            </w:r>
          </w:p>
        </w:tc>
      </w:tr>
      <w:tr>
        <w:trPr>
          <w:trHeight w:val="479"/>
        </w:trPr>
        <w:tc>
          <w:tcPr>
            <w:tcW w:w="780" w:type="dxa"/>
            <w:vAlign w:val="bottom"/>
          </w:tcPr>
          <w:p>
            <w:pPr>
              <w:spacing w:after="0"/>
              <w:rPr>
                <w:sz w:val="20"/>
                <w:szCs w:val="20"/>
                <w:color w:val="auto"/>
              </w:rPr>
            </w:pPr>
            <w:r>
              <w:rPr>
                <w:rFonts w:ascii="Arial" w:cs="Arial" w:eastAsia="Arial" w:hAnsi="Arial"/>
                <w:sz w:val="18"/>
                <w:szCs w:val="18"/>
                <w:color w:val="auto"/>
              </w:rPr>
              <w:t>TO:</w:t>
            </w:r>
          </w:p>
        </w:tc>
        <w:tc>
          <w:tcPr>
            <w:tcW w:w="5560" w:type="dxa"/>
            <w:vAlign w:val="bottom"/>
            <w:gridSpan w:val="2"/>
          </w:tcPr>
          <w:p>
            <w:pPr>
              <w:ind w:left="220"/>
              <w:spacing w:after="0"/>
              <w:rPr>
                <w:sz w:val="20"/>
                <w:szCs w:val="20"/>
                <w:color w:val="auto"/>
              </w:rPr>
            </w:pPr>
            <w:r>
              <w:rPr>
                <w:rFonts w:ascii="Arial" w:cs="Arial" w:eastAsia="Arial" w:hAnsi="Arial"/>
                <w:sz w:val="18"/>
                <w:szCs w:val="18"/>
                <w:color w:val="auto"/>
              </w:rPr>
              <w:t>SILICON VALLEY BANK, as Collateral Agent and Lender</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FROM:</w:t>
            </w:r>
          </w:p>
        </w:tc>
        <w:tc>
          <w:tcPr>
            <w:tcW w:w="5560" w:type="dxa"/>
            <w:vAlign w:val="bottom"/>
            <w:gridSpan w:val="2"/>
          </w:tcPr>
          <w:p>
            <w:pPr>
              <w:ind w:left="220"/>
              <w:spacing w:after="0"/>
              <w:rPr>
                <w:sz w:val="20"/>
                <w:szCs w:val="20"/>
                <w:color w:val="auto"/>
              </w:rPr>
            </w:pPr>
            <w:r>
              <w:rPr>
                <w:rFonts w:ascii="Arial" w:cs="Arial" w:eastAsia="Arial" w:hAnsi="Arial"/>
                <w:sz w:val="18"/>
                <w:szCs w:val="18"/>
                <w:color w:val="auto"/>
              </w:rPr>
              <w:t>89BIO, INC., 89BIO MANAGEMENT, INC., 89BIO LTD</w:t>
            </w:r>
          </w:p>
        </w:tc>
      </w:tr>
    </w:tbl>
    <w:p>
      <w:pPr>
        <w:spacing w:after="0" w:line="198" w:lineRule="exact"/>
        <w:rPr>
          <w:sz w:val="20"/>
          <w:szCs w:val="20"/>
          <w:color w:val="auto"/>
        </w:rPr>
      </w:pPr>
    </w:p>
    <w:p>
      <w:pPr>
        <w:ind w:left="440" w:right="80"/>
        <w:spacing w:after="0" w:line="261" w:lineRule="auto"/>
        <w:rPr>
          <w:sz w:val="20"/>
          <w:szCs w:val="20"/>
          <w:color w:val="auto"/>
        </w:rPr>
      </w:pPr>
      <w:r>
        <w:rPr>
          <w:rFonts w:ascii="Arial" w:cs="Arial" w:eastAsia="Arial" w:hAnsi="Arial"/>
          <w:sz w:val="18"/>
          <w:szCs w:val="18"/>
          <w:color w:val="auto"/>
        </w:rPr>
        <w:t>The undersigned authorized officer (“</w:t>
      </w:r>
      <w:r>
        <w:rPr>
          <w:rFonts w:ascii="Arial" w:cs="Arial" w:eastAsia="Arial" w:hAnsi="Arial"/>
          <w:sz w:val="18"/>
          <w:szCs w:val="18"/>
          <w:b w:val="1"/>
          <w:bCs w:val="1"/>
          <w:color w:val="auto"/>
        </w:rPr>
        <w:t>Officer</w:t>
      </w:r>
      <w:r>
        <w:rPr>
          <w:rFonts w:ascii="Arial" w:cs="Arial" w:eastAsia="Arial" w:hAnsi="Arial"/>
          <w:sz w:val="18"/>
          <w:szCs w:val="18"/>
          <w:color w:val="auto"/>
        </w:rPr>
        <w:t>”) of 89BIO, INC., 89BIO MANAGEMENT, INC., and 89BIO LTD (jointly and severally, individually and collectively, “</w:t>
      </w:r>
      <w:r>
        <w:rPr>
          <w:rFonts w:ascii="Arial" w:cs="Arial" w:eastAsia="Arial" w:hAnsi="Arial"/>
          <w:sz w:val="18"/>
          <w:szCs w:val="18"/>
          <w:b w:val="1"/>
          <w:bCs w:val="1"/>
          <w:color w:val="auto"/>
        </w:rPr>
        <w:t>Borrower</w:t>
      </w:r>
      <w:r>
        <w:rPr>
          <w:rFonts w:ascii="Arial" w:cs="Arial" w:eastAsia="Arial" w:hAnsi="Arial"/>
          <w:sz w:val="18"/>
          <w:szCs w:val="18"/>
          <w:color w:val="auto"/>
        </w:rPr>
        <w:t>”), hereby certifies that in accordance with the terms and conditions of the Loan and Security Agreement by and among Borrower, Collateral Agent, and the Lenders from time to time party thereto (the “</w:t>
      </w:r>
      <w:r>
        <w:rPr>
          <w:rFonts w:ascii="Arial" w:cs="Arial" w:eastAsia="Arial" w:hAnsi="Arial"/>
          <w:sz w:val="18"/>
          <w:szCs w:val="18"/>
          <w:b w:val="1"/>
          <w:bCs w:val="1"/>
          <w:color w:val="auto"/>
        </w:rPr>
        <w:t>Loan Agreement</w:t>
      </w:r>
      <w:r>
        <w:rPr>
          <w:rFonts w:ascii="Arial" w:cs="Arial" w:eastAsia="Arial" w:hAnsi="Arial"/>
          <w:sz w:val="18"/>
          <w:szCs w:val="18"/>
          <w:color w:val="auto"/>
        </w:rPr>
        <w:t>;” capitalized terms used but not otherwise defined herein shall have the meanings given them in the Loan Agreement),</w:t>
      </w:r>
    </w:p>
    <w:p>
      <w:pPr>
        <w:spacing w:after="0" w:line="76" w:lineRule="exact"/>
        <w:rPr>
          <w:sz w:val="20"/>
          <w:szCs w:val="20"/>
          <w:color w:val="auto"/>
        </w:rPr>
      </w:pPr>
    </w:p>
    <w:p>
      <w:pPr>
        <w:ind w:left="1100" w:hanging="241"/>
        <w:spacing w:after="0"/>
        <w:tabs>
          <w:tab w:leader="none" w:pos="11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Borrower is in complete compliance for the period ending _______________ with all required covenants except as noted below;</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There are no Events of Default, except as noted below;</w:t>
      </w:r>
    </w:p>
    <w:p>
      <w:pPr>
        <w:spacing w:after="0" w:line="117" w:lineRule="exact"/>
        <w:rPr>
          <w:rFonts w:ascii="Arial" w:cs="Arial" w:eastAsia="Arial" w:hAnsi="Arial"/>
          <w:sz w:val="18"/>
          <w:szCs w:val="18"/>
          <w:color w:val="auto"/>
        </w:rPr>
      </w:pPr>
    </w:p>
    <w:p>
      <w:pPr>
        <w:ind w:left="440" w:right="200" w:firstLine="419"/>
        <w:spacing w:after="0" w:line="301" w:lineRule="auto"/>
        <w:tabs>
          <w:tab w:leader="none" w:pos="1108" w:val="left"/>
        </w:tabs>
        <w:numPr>
          <w:ilvl w:val="0"/>
          <w:numId w:val="84"/>
        </w:numPr>
        <w:rPr>
          <w:rFonts w:ascii="Arial" w:cs="Arial" w:eastAsia="Arial" w:hAnsi="Arial"/>
          <w:sz w:val="16"/>
          <w:szCs w:val="16"/>
          <w:color w:val="auto"/>
        </w:rPr>
      </w:pPr>
      <w:r>
        <w:rPr>
          <w:rFonts w:ascii="Arial" w:cs="Arial" w:eastAsia="Arial" w:hAnsi="Arial"/>
          <w:sz w:val="16"/>
          <w:szCs w:val="16"/>
          <w:color w:val="auto"/>
        </w:rPr>
        <w:t>Except as noted below, all representations and warranties of Borrower stated in the Loan Documents are true and correct in all material respects on this date and for the period described in (a), above;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49" w:lineRule="exact"/>
        <w:rPr>
          <w:rFonts w:ascii="Arial" w:cs="Arial" w:eastAsia="Arial" w:hAnsi="Arial"/>
          <w:sz w:val="16"/>
          <w:szCs w:val="16"/>
          <w:color w:val="auto"/>
        </w:rPr>
      </w:pPr>
    </w:p>
    <w:p>
      <w:pPr>
        <w:ind w:left="440" w:right="140" w:firstLine="419"/>
        <w:spacing w:after="0" w:line="263" w:lineRule="auto"/>
        <w:tabs>
          <w:tab w:leader="none" w:pos="1118" w:val="left"/>
        </w:tabs>
        <w:numPr>
          <w:ilvl w:val="0"/>
          <w:numId w:val="84"/>
        </w:numPr>
        <w:rPr>
          <w:rFonts w:ascii="Arial" w:cs="Arial" w:eastAsia="Arial" w:hAnsi="Arial"/>
          <w:sz w:val="18"/>
          <w:szCs w:val="18"/>
          <w:color w:val="auto"/>
        </w:rPr>
      </w:pPr>
      <w:r>
        <w:rPr>
          <w:rFonts w:ascii="Arial" w:cs="Arial" w:eastAsia="Arial" w:hAnsi="Arial"/>
          <w:sz w:val="18"/>
          <w:szCs w:val="18"/>
          <w:color w:val="auto"/>
        </w:rPr>
        <w:t>Borrower, and each of Borrower’s Subsidiaries, has timely filed all required tax returns and reports, Borrower, and each of Borrower’s Subsidiaries, has timely paid all foreign, federal, state, and local taxes, assessments, deposits and contributions owed by Borrower, or Subsidiary, except as otherwise permitted pursuant to the terms of Section 5.8 of the Loan Agreement;</w:t>
      </w:r>
    </w:p>
    <w:p>
      <w:pPr>
        <w:spacing w:after="0" w:line="75" w:lineRule="exact"/>
        <w:rPr>
          <w:rFonts w:ascii="Arial" w:cs="Arial" w:eastAsia="Arial" w:hAnsi="Arial"/>
          <w:sz w:val="18"/>
          <w:szCs w:val="18"/>
          <w:color w:val="auto"/>
        </w:rPr>
      </w:pPr>
    </w:p>
    <w:p>
      <w:pPr>
        <w:ind w:left="440" w:right="120" w:firstLine="419"/>
        <w:spacing w:after="0" w:line="277" w:lineRule="auto"/>
        <w:tabs>
          <w:tab w:leader="none" w:pos="1108"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 Liens have been levied or claims made against Borrower or any of its Subsidiaries relating to unpaid employee payroll or benefits of which Borrower has not previously provided written notification to Collateral Agent and the Lenders.</w:t>
      </w:r>
    </w:p>
    <w:p>
      <w:pPr>
        <w:spacing w:after="0" w:line="170" w:lineRule="exact"/>
        <w:rPr>
          <w:sz w:val="20"/>
          <w:szCs w:val="20"/>
          <w:color w:val="auto"/>
        </w:rPr>
      </w:pPr>
    </w:p>
    <w:p>
      <w:pPr>
        <w:ind w:left="440" w:right="160"/>
        <w:spacing w:after="0" w:line="279" w:lineRule="auto"/>
        <w:rPr>
          <w:sz w:val="20"/>
          <w:szCs w:val="20"/>
          <w:color w:val="auto"/>
        </w:rPr>
      </w:pPr>
      <w:r>
        <w:rPr>
          <w:rFonts w:ascii="Arial" w:cs="Arial" w:eastAsia="Arial" w:hAnsi="Arial"/>
          <w:sz w:val="17"/>
          <w:szCs w:val="17"/>
          <w:color w:val="auto"/>
        </w:rPr>
        <w:t>Attached are the required documents, if any, supporting our certification(s). The Officer, on behalf of Borrower, further certifies that the attached financial statements are prepared in accordance with Generally Accepted Accounting Principles (GAAP) and are consistently applied from one period to the next except as explained in an accompanying letter or footnotes and except, in the case of unaudited financial statements, for the absence of footnotes and subject to year-end audit adjustments as to the interim financial statements.</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Please indicate compliance status since the last Compliance Certificate by circling Yes, No, or N/A under “Complies” column.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 w:type="dxa"/>
            <w:vAlign w:val="bottom"/>
          </w:tcPr>
          <w:p>
            <w:pPr>
              <w:spacing w:after="0"/>
              <w:rPr>
                <w:sz w:val="16"/>
                <w:szCs w:val="16"/>
                <w:color w:val="auto"/>
              </w:rPr>
            </w:pPr>
          </w:p>
        </w:tc>
        <w:tc>
          <w:tcPr>
            <w:tcW w:w="4160" w:type="dxa"/>
            <w:vAlign w:val="bottom"/>
          </w:tcPr>
          <w:p>
            <w:pPr>
              <w:ind w:left="60"/>
              <w:spacing w:after="0"/>
              <w:rPr>
                <w:sz w:val="20"/>
                <w:szCs w:val="20"/>
                <w:color w:val="auto"/>
              </w:rPr>
            </w:pPr>
            <w:r>
              <w:rPr>
                <w:rFonts w:ascii="Arial" w:cs="Arial" w:eastAsia="Arial" w:hAnsi="Arial"/>
                <w:sz w:val="14"/>
                <w:szCs w:val="14"/>
                <w:b w:val="1"/>
                <w:bCs w:val="1"/>
                <w:color w:val="auto"/>
              </w:rPr>
              <w:t>Reporting Covenant</w:t>
            </w:r>
          </w:p>
        </w:tc>
        <w:tc>
          <w:tcPr>
            <w:tcW w:w="4560" w:type="dxa"/>
            <w:vAlign w:val="bottom"/>
          </w:tcPr>
          <w:p>
            <w:pPr>
              <w:ind w:left="2140"/>
              <w:spacing w:after="0"/>
              <w:rPr>
                <w:sz w:val="20"/>
                <w:szCs w:val="20"/>
                <w:color w:val="auto"/>
              </w:rPr>
            </w:pPr>
            <w:r>
              <w:rPr>
                <w:rFonts w:ascii="Arial" w:cs="Arial" w:eastAsia="Arial" w:hAnsi="Arial"/>
                <w:sz w:val="14"/>
                <w:szCs w:val="14"/>
                <w:b w:val="1"/>
                <w:bCs w:val="1"/>
                <w:color w:val="auto"/>
              </w:rPr>
              <w:t>Requirement</w:t>
            </w:r>
          </w:p>
        </w:tc>
        <w:tc>
          <w:tcPr>
            <w:tcW w:w="900" w:type="dxa"/>
            <w:vAlign w:val="bottom"/>
          </w:tcPr>
          <w:p>
            <w:pPr>
              <w:ind w:left="380"/>
              <w:spacing w:after="0"/>
              <w:rPr>
                <w:sz w:val="20"/>
                <w:szCs w:val="20"/>
                <w:color w:val="auto"/>
              </w:rPr>
            </w:pPr>
            <w:r>
              <w:rPr>
                <w:rFonts w:ascii="Arial" w:cs="Arial" w:eastAsia="Arial" w:hAnsi="Arial"/>
                <w:sz w:val="14"/>
                <w:szCs w:val="14"/>
                <w:b w:val="1"/>
                <w:bCs w:val="1"/>
                <w:color w:val="auto"/>
              </w:rPr>
              <w:t>Actual</w:t>
            </w:r>
          </w:p>
        </w:tc>
        <w:tc>
          <w:tcPr>
            <w:tcW w:w="1200" w:type="dxa"/>
            <w:vAlign w:val="bottom"/>
            <w:gridSpan w:val="3"/>
          </w:tcPr>
          <w:p>
            <w:pPr>
              <w:jc w:val="center"/>
              <w:ind w:left="15"/>
              <w:spacing w:after="0"/>
              <w:rPr>
                <w:sz w:val="20"/>
                <w:szCs w:val="20"/>
                <w:color w:val="auto"/>
              </w:rPr>
            </w:pPr>
            <w:r>
              <w:rPr>
                <w:rFonts w:ascii="Arial" w:cs="Arial" w:eastAsia="Arial" w:hAnsi="Arial"/>
                <w:sz w:val="14"/>
                <w:szCs w:val="14"/>
                <w:b w:val="1"/>
                <w:bCs w:val="1"/>
                <w:color w:val="auto"/>
                <w:w w:val="91"/>
              </w:rPr>
              <w:t>Complies</w:t>
            </w:r>
          </w:p>
        </w:tc>
      </w:tr>
      <w:tr>
        <w:trPr>
          <w:trHeight w:val="309"/>
        </w:trPr>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74"/>
              </w:rPr>
              <w:t>1)</w:t>
            </w:r>
          </w:p>
        </w:tc>
        <w:tc>
          <w:tcPr>
            <w:tcW w:w="4160" w:type="dxa"/>
            <w:vAlign w:val="bottom"/>
          </w:tcPr>
          <w:p>
            <w:pPr>
              <w:ind w:left="60"/>
              <w:spacing w:after="0"/>
              <w:rPr>
                <w:sz w:val="20"/>
                <w:szCs w:val="20"/>
                <w:color w:val="auto"/>
              </w:rPr>
            </w:pPr>
            <w:r>
              <w:rPr>
                <w:rFonts w:ascii="Arial" w:cs="Arial" w:eastAsia="Arial" w:hAnsi="Arial"/>
                <w:sz w:val="18"/>
                <w:szCs w:val="18"/>
                <w:color w:val="auto"/>
              </w:rPr>
              <w:t>Financial statements</w:t>
            </w:r>
          </w:p>
        </w:tc>
        <w:tc>
          <w:tcPr>
            <w:tcW w:w="4560" w:type="dxa"/>
            <w:vAlign w:val="bottom"/>
          </w:tcPr>
          <w:p>
            <w:pPr>
              <w:ind w:left="360"/>
              <w:spacing w:after="0"/>
              <w:rPr>
                <w:sz w:val="20"/>
                <w:szCs w:val="20"/>
                <w:color w:val="auto"/>
              </w:rPr>
            </w:pPr>
            <w:r>
              <w:rPr>
                <w:rFonts w:ascii="Arial" w:cs="Arial" w:eastAsia="Arial" w:hAnsi="Arial"/>
                <w:sz w:val="18"/>
                <w:szCs w:val="18"/>
                <w:color w:val="auto"/>
              </w:rPr>
              <w:t>Quarterly within 45 days</w:t>
            </w:r>
          </w:p>
        </w:tc>
        <w:tc>
          <w:tcPr>
            <w:tcW w:w="900" w:type="dxa"/>
            <w:vAlign w:val="bottom"/>
          </w:tcPr>
          <w:p>
            <w:pPr>
              <w:spacing w:after="0"/>
              <w:rPr>
                <w:sz w:val="24"/>
                <w:szCs w:val="24"/>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Yes</w:t>
            </w:r>
          </w:p>
        </w:tc>
        <w:tc>
          <w:tcPr>
            <w:tcW w:w="3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380" w:type="dxa"/>
            <w:vAlign w:val="bottom"/>
          </w:tcPr>
          <w:p>
            <w:pPr>
              <w:ind w:left="60"/>
              <w:spacing w:after="0"/>
              <w:rPr>
                <w:sz w:val="20"/>
                <w:szCs w:val="20"/>
                <w:color w:val="auto"/>
              </w:rPr>
            </w:pPr>
            <w:r>
              <w:rPr>
                <w:rFonts w:ascii="Arial" w:cs="Arial" w:eastAsia="Arial" w:hAnsi="Arial"/>
                <w:sz w:val="18"/>
                <w:szCs w:val="18"/>
                <w:color w:val="auto"/>
                <w:w w:val="99"/>
              </w:rPr>
              <w:t>N/A</w:t>
            </w:r>
          </w:p>
        </w:tc>
      </w:tr>
      <w:tr>
        <w:trPr>
          <w:trHeight w:val="324"/>
        </w:trPr>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74"/>
              </w:rPr>
              <w:t>2)</w:t>
            </w:r>
          </w:p>
        </w:tc>
        <w:tc>
          <w:tcPr>
            <w:tcW w:w="4160" w:type="dxa"/>
            <w:vAlign w:val="bottom"/>
          </w:tcPr>
          <w:p>
            <w:pPr>
              <w:ind w:left="60"/>
              <w:spacing w:after="0"/>
              <w:rPr>
                <w:sz w:val="20"/>
                <w:szCs w:val="20"/>
                <w:color w:val="auto"/>
              </w:rPr>
            </w:pPr>
            <w:r>
              <w:rPr>
                <w:rFonts w:ascii="Arial" w:cs="Arial" w:eastAsia="Arial" w:hAnsi="Arial"/>
                <w:sz w:val="18"/>
                <w:szCs w:val="18"/>
                <w:color w:val="auto"/>
              </w:rPr>
              <w:t>Annual (CPA Audited) statements</w:t>
            </w:r>
          </w:p>
        </w:tc>
        <w:tc>
          <w:tcPr>
            <w:tcW w:w="4560" w:type="dxa"/>
            <w:vAlign w:val="bottom"/>
          </w:tcPr>
          <w:p>
            <w:pPr>
              <w:ind w:left="360"/>
              <w:spacing w:after="0"/>
              <w:rPr>
                <w:sz w:val="20"/>
                <w:szCs w:val="20"/>
                <w:color w:val="auto"/>
              </w:rPr>
            </w:pPr>
            <w:r>
              <w:rPr>
                <w:rFonts w:ascii="Arial" w:cs="Arial" w:eastAsia="Arial" w:hAnsi="Arial"/>
                <w:sz w:val="18"/>
                <w:szCs w:val="18"/>
                <w:color w:val="auto"/>
              </w:rPr>
              <w:t>Within 90 days after FYE</w:t>
            </w:r>
          </w:p>
        </w:tc>
        <w:tc>
          <w:tcPr>
            <w:tcW w:w="900" w:type="dxa"/>
            <w:vAlign w:val="bottom"/>
          </w:tcPr>
          <w:p>
            <w:pPr>
              <w:spacing w:after="0"/>
              <w:rPr>
                <w:sz w:val="24"/>
                <w:szCs w:val="24"/>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Yes</w:t>
            </w:r>
          </w:p>
        </w:tc>
        <w:tc>
          <w:tcPr>
            <w:tcW w:w="3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380" w:type="dxa"/>
            <w:vAlign w:val="bottom"/>
          </w:tcPr>
          <w:p>
            <w:pPr>
              <w:ind w:left="60"/>
              <w:spacing w:after="0"/>
              <w:rPr>
                <w:sz w:val="20"/>
                <w:szCs w:val="20"/>
                <w:color w:val="auto"/>
              </w:rPr>
            </w:pPr>
            <w:r>
              <w:rPr>
                <w:rFonts w:ascii="Arial" w:cs="Arial" w:eastAsia="Arial" w:hAnsi="Arial"/>
                <w:sz w:val="18"/>
                <w:szCs w:val="18"/>
                <w:color w:val="auto"/>
                <w:w w:val="99"/>
              </w:rPr>
              <w:t>N/A</w:t>
            </w:r>
          </w:p>
        </w:tc>
      </w:tr>
      <w:tr>
        <w:trPr>
          <w:trHeight w:val="310"/>
        </w:trPr>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74"/>
              </w:rPr>
              <w:t>3)</w:t>
            </w:r>
          </w:p>
        </w:tc>
        <w:tc>
          <w:tcPr>
            <w:tcW w:w="4160" w:type="dxa"/>
            <w:vAlign w:val="bottom"/>
          </w:tcPr>
          <w:p>
            <w:pPr>
              <w:ind w:left="60"/>
              <w:spacing w:after="0"/>
              <w:rPr>
                <w:sz w:val="20"/>
                <w:szCs w:val="20"/>
                <w:color w:val="auto"/>
              </w:rPr>
            </w:pPr>
            <w:r>
              <w:rPr>
                <w:rFonts w:ascii="Arial" w:cs="Arial" w:eastAsia="Arial" w:hAnsi="Arial"/>
                <w:sz w:val="18"/>
                <w:szCs w:val="18"/>
                <w:color w:val="auto"/>
                <w:w w:val="98"/>
              </w:rPr>
              <w:t>Annual Financial Projections/Budget (prepared on a</w:t>
            </w:r>
          </w:p>
        </w:tc>
        <w:tc>
          <w:tcPr>
            <w:tcW w:w="4560" w:type="dxa"/>
            <w:vAlign w:val="bottom"/>
          </w:tcPr>
          <w:p>
            <w:pPr>
              <w:ind w:left="360"/>
              <w:spacing w:after="0"/>
              <w:rPr>
                <w:sz w:val="20"/>
                <w:szCs w:val="20"/>
                <w:color w:val="auto"/>
              </w:rPr>
            </w:pPr>
            <w:r>
              <w:rPr>
                <w:rFonts w:ascii="Arial" w:cs="Arial" w:eastAsia="Arial" w:hAnsi="Arial"/>
                <w:sz w:val="18"/>
                <w:szCs w:val="18"/>
                <w:color w:val="auto"/>
              </w:rPr>
              <w:t>Annually (within 30 days of FYE), and when revised</w:t>
            </w:r>
          </w:p>
        </w:tc>
        <w:tc>
          <w:tcPr>
            <w:tcW w:w="900" w:type="dxa"/>
            <w:vAlign w:val="bottom"/>
          </w:tcPr>
          <w:p>
            <w:pPr>
              <w:spacing w:after="0"/>
              <w:rPr>
                <w:sz w:val="24"/>
                <w:szCs w:val="24"/>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Yes</w:t>
            </w:r>
          </w:p>
        </w:tc>
        <w:tc>
          <w:tcPr>
            <w:tcW w:w="3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380" w:type="dxa"/>
            <w:vAlign w:val="bottom"/>
          </w:tcPr>
          <w:p>
            <w:pPr>
              <w:ind w:left="60"/>
              <w:spacing w:after="0"/>
              <w:rPr>
                <w:sz w:val="20"/>
                <w:szCs w:val="20"/>
                <w:color w:val="auto"/>
              </w:rPr>
            </w:pPr>
            <w:r>
              <w:rPr>
                <w:rFonts w:ascii="Arial" w:cs="Arial" w:eastAsia="Arial" w:hAnsi="Arial"/>
                <w:sz w:val="18"/>
                <w:szCs w:val="18"/>
                <w:color w:val="auto"/>
                <w:w w:val="99"/>
              </w:rPr>
              <w:t>N/A</w:t>
            </w:r>
          </w:p>
        </w:tc>
      </w:tr>
      <w:tr>
        <w:trPr>
          <w:trHeight w:val="230"/>
        </w:trPr>
        <w:tc>
          <w:tcPr>
            <w:tcW w:w="200" w:type="dxa"/>
            <w:vAlign w:val="bottom"/>
          </w:tcPr>
          <w:p>
            <w:pPr>
              <w:spacing w:after="0"/>
              <w:rPr>
                <w:sz w:val="20"/>
                <w:szCs w:val="20"/>
                <w:color w:val="auto"/>
              </w:rPr>
            </w:pPr>
          </w:p>
        </w:tc>
        <w:tc>
          <w:tcPr>
            <w:tcW w:w="4160" w:type="dxa"/>
            <w:vAlign w:val="bottom"/>
          </w:tcPr>
          <w:p>
            <w:pPr>
              <w:ind w:left="60"/>
              <w:spacing w:after="0"/>
              <w:rPr>
                <w:sz w:val="20"/>
                <w:szCs w:val="20"/>
                <w:color w:val="auto"/>
              </w:rPr>
            </w:pPr>
            <w:r>
              <w:rPr>
                <w:rFonts w:ascii="Arial" w:cs="Arial" w:eastAsia="Arial" w:hAnsi="Arial"/>
                <w:sz w:val="18"/>
                <w:szCs w:val="18"/>
                <w:color w:val="auto"/>
              </w:rPr>
              <w:t>monthly basis)</w:t>
            </w:r>
          </w:p>
        </w:tc>
        <w:tc>
          <w:tcPr>
            <w:tcW w:w="4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58" w:name="page59"/>
    <w:bookmarkEnd w:id="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74"/>
              </w:rPr>
              <w:t>4)</w:t>
            </w:r>
          </w:p>
        </w:tc>
        <w:tc>
          <w:tcPr>
            <w:tcW w:w="3940" w:type="dxa"/>
            <w:vAlign w:val="bottom"/>
          </w:tcPr>
          <w:p>
            <w:pPr>
              <w:ind w:left="60"/>
              <w:spacing w:after="0"/>
              <w:rPr>
                <w:sz w:val="20"/>
                <w:szCs w:val="20"/>
                <w:color w:val="auto"/>
              </w:rPr>
            </w:pPr>
            <w:r>
              <w:rPr>
                <w:rFonts w:ascii="Arial" w:cs="Arial" w:eastAsia="Arial" w:hAnsi="Arial"/>
                <w:sz w:val="18"/>
                <w:szCs w:val="18"/>
                <w:color w:val="auto"/>
              </w:rPr>
              <w:t>8-K, 10-K and 10-Q Filings</w:t>
            </w:r>
          </w:p>
        </w:tc>
        <w:tc>
          <w:tcPr>
            <w:tcW w:w="3640" w:type="dxa"/>
            <w:vAlign w:val="bottom"/>
          </w:tcPr>
          <w:p>
            <w:pPr>
              <w:ind w:left="60"/>
              <w:spacing w:after="0"/>
              <w:rPr>
                <w:sz w:val="20"/>
                <w:szCs w:val="20"/>
                <w:color w:val="auto"/>
              </w:rPr>
            </w:pPr>
            <w:r>
              <w:rPr>
                <w:rFonts w:ascii="Arial" w:cs="Arial" w:eastAsia="Arial" w:hAnsi="Arial"/>
                <w:sz w:val="18"/>
                <w:szCs w:val="18"/>
                <w:color w:val="auto"/>
              </w:rPr>
              <w:t>Within 5 days of filing</w:t>
            </w:r>
          </w:p>
        </w:tc>
        <w:tc>
          <w:tcPr>
            <w:tcW w:w="1700" w:type="dxa"/>
            <w:vAlign w:val="bottom"/>
          </w:tcPr>
          <w:p>
            <w:pPr>
              <w:spacing w:after="0"/>
              <w:rPr>
                <w:sz w:val="20"/>
                <w:szCs w:val="20"/>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Yes</w:t>
            </w:r>
          </w:p>
        </w:tc>
        <w:tc>
          <w:tcPr>
            <w:tcW w:w="360" w:type="dxa"/>
            <w:vAlign w:val="bottom"/>
          </w:tcPr>
          <w:p>
            <w:pPr>
              <w:ind w:left="80"/>
              <w:spacing w:after="0"/>
              <w:rPr>
                <w:sz w:val="20"/>
                <w:szCs w:val="20"/>
                <w:color w:val="auto"/>
              </w:rPr>
            </w:pPr>
            <w:r>
              <w:rPr>
                <w:rFonts w:ascii="Arial" w:cs="Arial" w:eastAsia="Arial" w:hAnsi="Arial"/>
                <w:sz w:val="18"/>
                <w:szCs w:val="18"/>
                <w:color w:val="auto"/>
              </w:rPr>
              <w:t>No</w:t>
            </w:r>
          </w:p>
        </w:tc>
        <w:tc>
          <w:tcPr>
            <w:tcW w:w="380" w:type="dxa"/>
            <w:vAlign w:val="bottom"/>
          </w:tcPr>
          <w:p>
            <w:pPr>
              <w:ind w:left="60"/>
              <w:spacing w:after="0"/>
              <w:rPr>
                <w:sz w:val="20"/>
                <w:szCs w:val="20"/>
                <w:color w:val="auto"/>
              </w:rPr>
            </w:pPr>
            <w:r>
              <w:rPr>
                <w:rFonts w:ascii="Arial" w:cs="Arial" w:eastAsia="Arial" w:hAnsi="Arial"/>
                <w:sz w:val="18"/>
                <w:szCs w:val="18"/>
                <w:color w:val="auto"/>
                <w:w w:val="99"/>
              </w:rPr>
              <w:t>N/A</w:t>
            </w:r>
          </w:p>
        </w:tc>
      </w:tr>
      <w:tr>
        <w:trPr>
          <w:trHeight w:val="310"/>
        </w:trPr>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74"/>
              </w:rPr>
              <w:t>5)</w:t>
            </w:r>
          </w:p>
        </w:tc>
        <w:tc>
          <w:tcPr>
            <w:tcW w:w="3940" w:type="dxa"/>
            <w:vAlign w:val="bottom"/>
          </w:tcPr>
          <w:p>
            <w:pPr>
              <w:ind w:left="60"/>
              <w:spacing w:after="0"/>
              <w:rPr>
                <w:sz w:val="20"/>
                <w:szCs w:val="20"/>
                <w:color w:val="auto"/>
              </w:rPr>
            </w:pPr>
            <w:r>
              <w:rPr>
                <w:rFonts w:ascii="Arial" w:cs="Arial" w:eastAsia="Arial" w:hAnsi="Arial"/>
                <w:sz w:val="18"/>
                <w:szCs w:val="18"/>
                <w:color w:val="auto"/>
              </w:rPr>
              <w:t>Compliance Certificate</w:t>
            </w:r>
          </w:p>
        </w:tc>
        <w:tc>
          <w:tcPr>
            <w:tcW w:w="3640" w:type="dxa"/>
            <w:vAlign w:val="bottom"/>
          </w:tcPr>
          <w:p>
            <w:pPr>
              <w:ind w:left="60"/>
              <w:spacing w:after="0"/>
              <w:rPr>
                <w:sz w:val="20"/>
                <w:szCs w:val="20"/>
                <w:color w:val="auto"/>
              </w:rPr>
            </w:pPr>
            <w:r>
              <w:rPr>
                <w:rFonts w:ascii="Arial" w:cs="Arial" w:eastAsia="Arial" w:hAnsi="Arial"/>
                <w:sz w:val="18"/>
                <w:szCs w:val="18"/>
                <w:color w:val="auto"/>
                <w:w w:val="95"/>
              </w:rPr>
              <w:t>Monthly within 30 days or 45 days if last month</w:t>
            </w:r>
          </w:p>
        </w:tc>
        <w:tc>
          <w:tcPr>
            <w:tcW w:w="170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Yes</w:t>
            </w:r>
          </w:p>
        </w:tc>
        <w:tc>
          <w:tcPr>
            <w:tcW w:w="360" w:type="dxa"/>
            <w:vAlign w:val="bottom"/>
          </w:tcPr>
          <w:p>
            <w:pPr>
              <w:ind w:left="80"/>
              <w:spacing w:after="0"/>
              <w:rPr>
                <w:sz w:val="20"/>
                <w:szCs w:val="20"/>
                <w:color w:val="auto"/>
              </w:rPr>
            </w:pPr>
            <w:r>
              <w:rPr>
                <w:rFonts w:ascii="Arial" w:cs="Arial" w:eastAsia="Arial" w:hAnsi="Arial"/>
                <w:sz w:val="18"/>
                <w:szCs w:val="18"/>
                <w:color w:val="auto"/>
              </w:rPr>
              <w:t>No</w:t>
            </w:r>
          </w:p>
        </w:tc>
        <w:tc>
          <w:tcPr>
            <w:tcW w:w="380" w:type="dxa"/>
            <w:vAlign w:val="bottom"/>
          </w:tcPr>
          <w:p>
            <w:pPr>
              <w:ind w:left="60"/>
              <w:spacing w:after="0"/>
              <w:rPr>
                <w:sz w:val="20"/>
                <w:szCs w:val="20"/>
                <w:color w:val="auto"/>
              </w:rPr>
            </w:pPr>
            <w:r>
              <w:rPr>
                <w:rFonts w:ascii="Arial" w:cs="Arial" w:eastAsia="Arial" w:hAnsi="Arial"/>
                <w:sz w:val="18"/>
                <w:szCs w:val="18"/>
                <w:color w:val="auto"/>
                <w:w w:val="99"/>
              </w:rPr>
              <w:t>N/A</w:t>
            </w:r>
          </w:p>
        </w:tc>
      </w:tr>
      <w:tr>
        <w:trPr>
          <w:trHeight w:val="230"/>
        </w:trPr>
        <w:tc>
          <w:tcPr>
            <w:tcW w:w="2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640" w:type="dxa"/>
            <w:vAlign w:val="bottom"/>
          </w:tcPr>
          <w:p>
            <w:pPr>
              <w:ind w:left="60"/>
              <w:spacing w:after="0"/>
              <w:rPr>
                <w:sz w:val="20"/>
                <w:szCs w:val="20"/>
                <w:color w:val="auto"/>
              </w:rPr>
            </w:pPr>
            <w:r>
              <w:rPr>
                <w:rFonts w:ascii="Arial" w:cs="Arial" w:eastAsia="Arial" w:hAnsi="Arial"/>
                <w:sz w:val="18"/>
                <w:szCs w:val="18"/>
                <w:color w:val="auto"/>
              </w:rPr>
              <w:t>of fiscal quarter</w:t>
            </w:r>
          </w:p>
        </w:tc>
        <w:tc>
          <w:tcPr>
            <w:tcW w:w="1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24"/>
        </w:trPr>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74"/>
              </w:rPr>
              <w:t>6)</w:t>
            </w:r>
          </w:p>
        </w:tc>
        <w:tc>
          <w:tcPr>
            <w:tcW w:w="3940" w:type="dxa"/>
            <w:vAlign w:val="bottom"/>
          </w:tcPr>
          <w:p>
            <w:pPr>
              <w:ind w:left="60"/>
              <w:spacing w:after="0"/>
              <w:rPr>
                <w:sz w:val="20"/>
                <w:szCs w:val="20"/>
                <w:color w:val="auto"/>
              </w:rPr>
            </w:pPr>
            <w:r>
              <w:rPr>
                <w:rFonts w:ascii="Arial" w:cs="Arial" w:eastAsia="Arial" w:hAnsi="Arial"/>
                <w:sz w:val="18"/>
                <w:szCs w:val="18"/>
                <w:color w:val="auto"/>
              </w:rPr>
              <w:t>IP Report</w:t>
            </w:r>
          </w:p>
        </w:tc>
        <w:tc>
          <w:tcPr>
            <w:tcW w:w="3640" w:type="dxa"/>
            <w:vAlign w:val="bottom"/>
          </w:tcPr>
          <w:p>
            <w:pPr>
              <w:ind w:left="60"/>
              <w:spacing w:after="0"/>
              <w:rPr>
                <w:sz w:val="20"/>
                <w:szCs w:val="20"/>
                <w:color w:val="auto"/>
              </w:rPr>
            </w:pPr>
            <w:r>
              <w:rPr>
                <w:rFonts w:ascii="Arial" w:cs="Arial" w:eastAsia="Arial" w:hAnsi="Arial"/>
                <w:sz w:val="18"/>
                <w:szCs w:val="18"/>
                <w:color w:val="auto"/>
              </w:rPr>
              <w:t>When required</w:t>
            </w:r>
          </w:p>
        </w:tc>
        <w:tc>
          <w:tcPr>
            <w:tcW w:w="170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Yes</w:t>
            </w:r>
          </w:p>
        </w:tc>
        <w:tc>
          <w:tcPr>
            <w:tcW w:w="360" w:type="dxa"/>
            <w:vAlign w:val="bottom"/>
          </w:tcPr>
          <w:p>
            <w:pPr>
              <w:ind w:left="80"/>
              <w:spacing w:after="0"/>
              <w:rPr>
                <w:sz w:val="20"/>
                <w:szCs w:val="20"/>
                <w:color w:val="auto"/>
              </w:rPr>
            </w:pPr>
            <w:r>
              <w:rPr>
                <w:rFonts w:ascii="Arial" w:cs="Arial" w:eastAsia="Arial" w:hAnsi="Arial"/>
                <w:sz w:val="18"/>
                <w:szCs w:val="18"/>
                <w:color w:val="auto"/>
              </w:rPr>
              <w:t>No</w:t>
            </w:r>
          </w:p>
        </w:tc>
        <w:tc>
          <w:tcPr>
            <w:tcW w:w="380" w:type="dxa"/>
            <w:vAlign w:val="bottom"/>
          </w:tcPr>
          <w:p>
            <w:pPr>
              <w:ind w:left="60"/>
              <w:spacing w:after="0"/>
              <w:rPr>
                <w:sz w:val="20"/>
                <w:szCs w:val="20"/>
                <w:color w:val="auto"/>
              </w:rPr>
            </w:pPr>
            <w:r>
              <w:rPr>
                <w:rFonts w:ascii="Arial" w:cs="Arial" w:eastAsia="Arial" w:hAnsi="Arial"/>
                <w:sz w:val="18"/>
                <w:szCs w:val="18"/>
                <w:color w:val="auto"/>
                <w:w w:val="99"/>
              </w:rPr>
              <w:t>N/A</w:t>
            </w:r>
          </w:p>
        </w:tc>
      </w:tr>
      <w:tr>
        <w:trPr>
          <w:trHeight w:val="310"/>
        </w:trPr>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74"/>
              </w:rPr>
              <w:t>7)</w:t>
            </w:r>
          </w:p>
        </w:tc>
        <w:tc>
          <w:tcPr>
            <w:tcW w:w="3940" w:type="dxa"/>
            <w:vAlign w:val="bottom"/>
          </w:tcPr>
          <w:p>
            <w:pPr>
              <w:ind w:left="60"/>
              <w:spacing w:after="0"/>
              <w:rPr>
                <w:sz w:val="20"/>
                <w:szCs w:val="20"/>
                <w:color w:val="auto"/>
              </w:rPr>
            </w:pPr>
            <w:r>
              <w:rPr>
                <w:rFonts w:ascii="Arial" w:cs="Arial" w:eastAsia="Arial" w:hAnsi="Arial"/>
                <w:sz w:val="18"/>
                <w:szCs w:val="18"/>
                <w:color w:val="auto"/>
              </w:rPr>
              <w:t>Total amount of Borrower’s cash and cash</w:t>
            </w:r>
          </w:p>
        </w:tc>
        <w:tc>
          <w:tcPr>
            <w:tcW w:w="3640" w:type="dxa"/>
            <w:vAlign w:val="bottom"/>
          </w:tcPr>
          <w:p>
            <w:pPr>
              <w:spacing w:after="0"/>
              <w:rPr>
                <w:sz w:val="24"/>
                <w:szCs w:val="24"/>
                <w:color w:val="auto"/>
              </w:rPr>
            </w:pPr>
          </w:p>
        </w:tc>
        <w:tc>
          <w:tcPr>
            <w:tcW w:w="1700" w:type="dxa"/>
            <w:vAlign w:val="bottom"/>
          </w:tcPr>
          <w:p>
            <w:pPr>
              <w:jc w:val="right"/>
              <w:ind w:right="350"/>
              <w:spacing w:after="0"/>
              <w:rPr>
                <w:sz w:val="20"/>
                <w:szCs w:val="20"/>
                <w:color w:val="auto"/>
              </w:rPr>
            </w:pPr>
            <w:r>
              <w:rPr>
                <w:rFonts w:ascii="Arial" w:cs="Arial" w:eastAsia="Arial" w:hAnsi="Arial"/>
                <w:sz w:val="18"/>
                <w:szCs w:val="18"/>
                <w:color w:val="auto"/>
                <w:w w:val="95"/>
              </w:rPr>
              <w:t>$____________</w:t>
            </w:r>
          </w:p>
        </w:tc>
        <w:tc>
          <w:tcPr>
            <w:tcW w:w="800" w:type="dxa"/>
            <w:vAlign w:val="bottom"/>
          </w:tcPr>
          <w:p>
            <w:pPr>
              <w:ind w:left="460"/>
              <w:spacing w:after="0"/>
              <w:rPr>
                <w:sz w:val="20"/>
                <w:szCs w:val="20"/>
                <w:color w:val="auto"/>
              </w:rPr>
            </w:pPr>
            <w:r>
              <w:rPr>
                <w:rFonts w:ascii="Arial" w:cs="Arial" w:eastAsia="Arial" w:hAnsi="Arial"/>
                <w:sz w:val="18"/>
                <w:szCs w:val="18"/>
                <w:color w:val="auto"/>
              </w:rPr>
              <w:t>Yes</w:t>
            </w:r>
          </w:p>
        </w:tc>
        <w:tc>
          <w:tcPr>
            <w:tcW w:w="360" w:type="dxa"/>
            <w:vAlign w:val="bottom"/>
          </w:tcPr>
          <w:p>
            <w:pPr>
              <w:ind w:left="80"/>
              <w:spacing w:after="0"/>
              <w:rPr>
                <w:sz w:val="20"/>
                <w:szCs w:val="20"/>
                <w:color w:val="auto"/>
              </w:rPr>
            </w:pPr>
            <w:r>
              <w:rPr>
                <w:rFonts w:ascii="Arial" w:cs="Arial" w:eastAsia="Arial" w:hAnsi="Arial"/>
                <w:sz w:val="18"/>
                <w:szCs w:val="18"/>
                <w:color w:val="auto"/>
              </w:rPr>
              <w:t>No</w:t>
            </w:r>
          </w:p>
        </w:tc>
        <w:tc>
          <w:tcPr>
            <w:tcW w:w="380" w:type="dxa"/>
            <w:vAlign w:val="bottom"/>
          </w:tcPr>
          <w:p>
            <w:pPr>
              <w:ind w:left="60"/>
              <w:spacing w:after="0"/>
              <w:rPr>
                <w:sz w:val="20"/>
                <w:szCs w:val="20"/>
                <w:color w:val="auto"/>
              </w:rPr>
            </w:pPr>
            <w:r>
              <w:rPr>
                <w:rFonts w:ascii="Arial" w:cs="Arial" w:eastAsia="Arial" w:hAnsi="Arial"/>
                <w:sz w:val="18"/>
                <w:szCs w:val="18"/>
                <w:color w:val="auto"/>
                <w:w w:val="99"/>
              </w:rPr>
              <w:t>N/A</w:t>
            </w:r>
          </w:p>
        </w:tc>
      </w:tr>
      <w:tr>
        <w:trPr>
          <w:trHeight w:val="230"/>
        </w:trPr>
        <w:tc>
          <w:tcPr>
            <w:tcW w:w="200" w:type="dxa"/>
            <w:vAlign w:val="bottom"/>
          </w:tcPr>
          <w:p>
            <w:pPr>
              <w:spacing w:after="0"/>
              <w:rPr>
                <w:sz w:val="20"/>
                <w:szCs w:val="20"/>
                <w:color w:val="auto"/>
              </w:rPr>
            </w:pPr>
          </w:p>
        </w:tc>
        <w:tc>
          <w:tcPr>
            <w:tcW w:w="3940" w:type="dxa"/>
            <w:vAlign w:val="bottom"/>
          </w:tcPr>
          <w:p>
            <w:pPr>
              <w:ind w:left="60"/>
              <w:spacing w:after="0"/>
              <w:rPr>
                <w:sz w:val="20"/>
                <w:szCs w:val="20"/>
                <w:color w:val="auto"/>
              </w:rPr>
            </w:pPr>
            <w:r>
              <w:rPr>
                <w:rFonts w:ascii="Arial" w:cs="Arial" w:eastAsia="Arial" w:hAnsi="Arial"/>
                <w:sz w:val="18"/>
                <w:szCs w:val="18"/>
                <w:color w:val="auto"/>
                <w:w w:val="90"/>
              </w:rPr>
              <w:t>equivalents at the last day of the measurement period</w:t>
            </w:r>
          </w:p>
        </w:tc>
        <w:tc>
          <w:tcPr>
            <w:tcW w:w="36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10"/>
        </w:trPr>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74"/>
              </w:rPr>
              <w:t>8)</w:t>
            </w:r>
          </w:p>
        </w:tc>
        <w:tc>
          <w:tcPr>
            <w:tcW w:w="3940" w:type="dxa"/>
            <w:vAlign w:val="bottom"/>
          </w:tcPr>
          <w:p>
            <w:pPr>
              <w:ind w:left="60"/>
              <w:spacing w:after="0"/>
              <w:rPr>
                <w:sz w:val="20"/>
                <w:szCs w:val="20"/>
                <w:color w:val="auto"/>
              </w:rPr>
            </w:pPr>
            <w:r>
              <w:rPr>
                <w:rFonts w:ascii="Arial" w:cs="Arial" w:eastAsia="Arial" w:hAnsi="Arial"/>
                <w:sz w:val="18"/>
                <w:szCs w:val="18"/>
                <w:color w:val="auto"/>
                <w:w w:val="96"/>
              </w:rPr>
              <w:t>Total amount of Borrower’s Subsidiaries’ cash and</w:t>
            </w:r>
          </w:p>
        </w:tc>
        <w:tc>
          <w:tcPr>
            <w:tcW w:w="3640" w:type="dxa"/>
            <w:vAlign w:val="bottom"/>
          </w:tcPr>
          <w:p>
            <w:pPr>
              <w:spacing w:after="0"/>
              <w:rPr>
                <w:sz w:val="24"/>
                <w:szCs w:val="24"/>
                <w:color w:val="auto"/>
              </w:rPr>
            </w:pPr>
          </w:p>
        </w:tc>
        <w:tc>
          <w:tcPr>
            <w:tcW w:w="1700" w:type="dxa"/>
            <w:vAlign w:val="bottom"/>
          </w:tcPr>
          <w:p>
            <w:pPr>
              <w:jc w:val="right"/>
              <w:ind w:right="350"/>
              <w:spacing w:after="0"/>
              <w:rPr>
                <w:sz w:val="20"/>
                <w:szCs w:val="20"/>
                <w:color w:val="auto"/>
              </w:rPr>
            </w:pPr>
            <w:r>
              <w:rPr>
                <w:rFonts w:ascii="Arial" w:cs="Arial" w:eastAsia="Arial" w:hAnsi="Arial"/>
                <w:sz w:val="18"/>
                <w:szCs w:val="18"/>
                <w:color w:val="auto"/>
                <w:w w:val="95"/>
              </w:rPr>
              <w:t>$____________</w:t>
            </w:r>
          </w:p>
        </w:tc>
        <w:tc>
          <w:tcPr>
            <w:tcW w:w="800" w:type="dxa"/>
            <w:vAlign w:val="bottom"/>
          </w:tcPr>
          <w:p>
            <w:pPr>
              <w:ind w:left="460"/>
              <w:spacing w:after="0"/>
              <w:rPr>
                <w:sz w:val="20"/>
                <w:szCs w:val="20"/>
                <w:color w:val="auto"/>
              </w:rPr>
            </w:pPr>
            <w:r>
              <w:rPr>
                <w:rFonts w:ascii="Arial" w:cs="Arial" w:eastAsia="Arial" w:hAnsi="Arial"/>
                <w:sz w:val="18"/>
                <w:szCs w:val="18"/>
                <w:color w:val="auto"/>
              </w:rPr>
              <w:t>Yes</w:t>
            </w:r>
          </w:p>
        </w:tc>
        <w:tc>
          <w:tcPr>
            <w:tcW w:w="360" w:type="dxa"/>
            <w:vAlign w:val="bottom"/>
          </w:tcPr>
          <w:p>
            <w:pPr>
              <w:ind w:left="80"/>
              <w:spacing w:after="0"/>
              <w:rPr>
                <w:sz w:val="20"/>
                <w:szCs w:val="20"/>
                <w:color w:val="auto"/>
              </w:rPr>
            </w:pPr>
            <w:r>
              <w:rPr>
                <w:rFonts w:ascii="Arial" w:cs="Arial" w:eastAsia="Arial" w:hAnsi="Arial"/>
                <w:sz w:val="18"/>
                <w:szCs w:val="18"/>
                <w:color w:val="auto"/>
              </w:rPr>
              <w:t>No</w:t>
            </w:r>
          </w:p>
        </w:tc>
        <w:tc>
          <w:tcPr>
            <w:tcW w:w="380" w:type="dxa"/>
            <w:vAlign w:val="bottom"/>
          </w:tcPr>
          <w:p>
            <w:pPr>
              <w:ind w:left="60"/>
              <w:spacing w:after="0"/>
              <w:rPr>
                <w:sz w:val="20"/>
                <w:szCs w:val="20"/>
                <w:color w:val="auto"/>
              </w:rPr>
            </w:pPr>
            <w:r>
              <w:rPr>
                <w:rFonts w:ascii="Arial" w:cs="Arial" w:eastAsia="Arial" w:hAnsi="Arial"/>
                <w:sz w:val="18"/>
                <w:szCs w:val="18"/>
                <w:color w:val="auto"/>
                <w:w w:val="99"/>
              </w:rPr>
              <w:t>N/A</w:t>
            </w:r>
          </w:p>
        </w:tc>
      </w:tr>
      <w:tr>
        <w:trPr>
          <w:trHeight w:val="216"/>
        </w:trPr>
        <w:tc>
          <w:tcPr>
            <w:tcW w:w="200" w:type="dxa"/>
            <w:vAlign w:val="bottom"/>
          </w:tcPr>
          <w:p>
            <w:pPr>
              <w:spacing w:after="0"/>
              <w:rPr>
                <w:sz w:val="18"/>
                <w:szCs w:val="18"/>
                <w:color w:val="auto"/>
              </w:rPr>
            </w:pPr>
          </w:p>
        </w:tc>
        <w:tc>
          <w:tcPr>
            <w:tcW w:w="3940" w:type="dxa"/>
            <w:vAlign w:val="bottom"/>
          </w:tcPr>
          <w:p>
            <w:pPr>
              <w:ind w:left="60"/>
              <w:spacing w:after="0"/>
              <w:rPr>
                <w:sz w:val="20"/>
                <w:szCs w:val="20"/>
                <w:color w:val="auto"/>
              </w:rPr>
            </w:pPr>
            <w:r>
              <w:rPr>
                <w:rFonts w:ascii="Arial" w:cs="Arial" w:eastAsia="Arial" w:hAnsi="Arial"/>
                <w:sz w:val="18"/>
                <w:szCs w:val="18"/>
                <w:color w:val="auto"/>
                <w:w w:val="92"/>
              </w:rPr>
              <w:t>cash equivalents at the last day of the measurement</w:t>
            </w:r>
          </w:p>
        </w:tc>
        <w:tc>
          <w:tcPr>
            <w:tcW w:w="36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3940" w:type="dxa"/>
            <w:vAlign w:val="bottom"/>
          </w:tcPr>
          <w:p>
            <w:pPr>
              <w:ind w:left="60"/>
              <w:spacing w:after="0"/>
              <w:rPr>
                <w:sz w:val="20"/>
                <w:szCs w:val="20"/>
                <w:color w:val="auto"/>
              </w:rPr>
            </w:pPr>
            <w:r>
              <w:rPr>
                <w:rFonts w:ascii="Arial" w:cs="Arial" w:eastAsia="Arial" w:hAnsi="Arial"/>
                <w:sz w:val="18"/>
                <w:szCs w:val="18"/>
                <w:color w:val="auto"/>
              </w:rPr>
              <w:t>period</w:t>
            </w:r>
          </w:p>
        </w:tc>
        <w:tc>
          <w:tcPr>
            <w:tcW w:w="36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pacing w:after="0" w:line="90" w:lineRule="exact"/>
        <w:rPr>
          <w:sz w:val="20"/>
          <w:szCs w:val="20"/>
          <w:color w:val="auto"/>
        </w:rPr>
      </w:pPr>
    </w:p>
    <w:p>
      <w:pPr>
        <w:sectPr>
          <w:pgSz w:w="11900" w:h="16838" w:orient="portrait"/>
          <w:cols w:equalWidth="0" w:num="1">
            <w:col w:w="11020"/>
          </w:cols>
          <w:pgMar w:left="440" w:top="378" w:right="439" w:bottom="1440" w:gutter="0" w:footer="0" w:header="0"/>
        </w:sectPr>
      </w:pPr>
    </w:p>
    <w:p>
      <w:pPr>
        <w:ind w:left="260"/>
        <w:spacing w:after="0"/>
        <w:rPr>
          <w:sz w:val="20"/>
          <w:szCs w:val="20"/>
          <w:color w:val="auto"/>
        </w:rPr>
      </w:pPr>
      <w:r>
        <w:rPr>
          <w:rFonts w:ascii="Arial" w:cs="Arial" w:eastAsia="Arial" w:hAnsi="Arial"/>
          <w:sz w:val="18"/>
          <w:szCs w:val="18"/>
          <w:b w:val="1"/>
          <w:bCs w:val="1"/>
          <w:u w:val="single" w:color="auto"/>
          <w:color w:val="auto"/>
        </w:rPr>
        <w:t>Negative Covenants</w:t>
      </w:r>
    </w:p>
    <w:p>
      <w:pPr>
        <w:spacing w:after="0" w:line="27" w:lineRule="exact"/>
        <w:rPr>
          <w:sz w:val="20"/>
          <w:szCs w:val="20"/>
          <w:color w:val="auto"/>
        </w:rPr>
      </w:pPr>
    </w:p>
    <w:p>
      <w:pPr>
        <w:ind w:left="260"/>
        <w:spacing w:after="0" w:line="260" w:lineRule="auto"/>
        <w:rPr>
          <w:sz w:val="20"/>
          <w:szCs w:val="20"/>
          <w:color w:val="auto"/>
        </w:rPr>
      </w:pPr>
      <w:r>
        <w:rPr>
          <w:rFonts w:ascii="Arial" w:cs="Arial" w:eastAsia="Arial" w:hAnsi="Arial"/>
          <w:sz w:val="18"/>
          <w:szCs w:val="18"/>
          <w:color w:val="auto"/>
        </w:rPr>
        <w:t>At all times cap on total amount of 89bio Lithuania cash and cash equivalents</w:t>
      </w:r>
    </w:p>
    <w:p>
      <w:pPr>
        <w:spacing w:after="0" w:line="200" w:lineRule="exact"/>
        <w:rPr>
          <w:sz w:val="20"/>
          <w:szCs w:val="20"/>
          <w:color w:val="auto"/>
        </w:rPr>
      </w:pPr>
    </w:p>
    <w:p>
      <w:pPr>
        <w:spacing w:after="0" w:line="323" w:lineRule="exact"/>
        <w:rPr>
          <w:sz w:val="20"/>
          <w:szCs w:val="20"/>
          <w:color w:val="auto"/>
        </w:rPr>
      </w:pPr>
    </w:p>
    <w:p>
      <w:pPr>
        <w:ind w:left="260" w:right="520"/>
        <w:spacing w:after="0" w:line="277" w:lineRule="auto"/>
        <w:rPr>
          <w:sz w:val="20"/>
          <w:szCs w:val="20"/>
          <w:color w:val="auto"/>
        </w:rPr>
      </w:pPr>
      <w:r>
        <w:rPr>
          <w:rFonts w:ascii="Arial" w:cs="Arial" w:eastAsia="Arial" w:hAnsi="Arial"/>
          <w:sz w:val="18"/>
          <w:szCs w:val="18"/>
          <w:color w:val="auto"/>
        </w:rPr>
        <w:t>At all times cap on total amount of cash and investments by 89bio Israel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color w:val="auto"/>
                <w:w w:val="93"/>
              </w:rPr>
              <w:t>Amounts in excess of $50,000 for not more than</w:t>
            </w:r>
          </w:p>
        </w:tc>
        <w:tc>
          <w:tcPr>
            <w:tcW w:w="2080" w:type="dxa"/>
            <w:vAlign w:val="bottom"/>
          </w:tcPr>
          <w:p>
            <w:pPr>
              <w:ind w:left="60"/>
              <w:spacing w:after="0"/>
              <w:rPr>
                <w:sz w:val="20"/>
                <w:szCs w:val="20"/>
                <w:color w:val="auto"/>
              </w:rPr>
            </w:pPr>
            <w:r>
              <w:rPr>
                <w:rFonts w:ascii="Arial" w:cs="Arial" w:eastAsia="Arial" w:hAnsi="Arial"/>
                <w:sz w:val="18"/>
                <w:szCs w:val="18"/>
                <w:color w:val="auto"/>
                <w:w w:val="92"/>
              </w:rPr>
              <w:t>Largest amount held for 10</w:t>
            </w:r>
          </w:p>
        </w:tc>
        <w:tc>
          <w:tcPr>
            <w:tcW w:w="400" w:type="dxa"/>
            <w:vAlign w:val="bottom"/>
          </w:tcPr>
          <w:p>
            <w:pPr>
              <w:ind w:left="60"/>
              <w:spacing w:after="0"/>
              <w:rPr>
                <w:sz w:val="20"/>
                <w:szCs w:val="20"/>
                <w:color w:val="auto"/>
              </w:rPr>
            </w:pPr>
            <w:r>
              <w:rPr>
                <w:rFonts w:ascii="Arial" w:cs="Arial" w:eastAsia="Arial" w:hAnsi="Arial"/>
                <w:sz w:val="18"/>
                <w:szCs w:val="18"/>
                <w:color w:val="auto"/>
              </w:rPr>
              <w:t>Yes</w:t>
            </w:r>
          </w:p>
        </w:tc>
        <w:tc>
          <w:tcPr>
            <w:tcW w:w="360" w:type="dxa"/>
            <w:vAlign w:val="bottom"/>
          </w:tcPr>
          <w:p>
            <w:pPr>
              <w:ind w:left="80"/>
              <w:spacing w:after="0"/>
              <w:rPr>
                <w:sz w:val="20"/>
                <w:szCs w:val="20"/>
                <w:color w:val="auto"/>
              </w:rPr>
            </w:pPr>
            <w:r>
              <w:rPr>
                <w:rFonts w:ascii="Arial" w:cs="Arial" w:eastAsia="Arial" w:hAnsi="Arial"/>
                <w:sz w:val="18"/>
                <w:szCs w:val="18"/>
                <w:color w:val="auto"/>
              </w:rPr>
              <w:t>No</w:t>
            </w:r>
          </w:p>
        </w:tc>
        <w:tc>
          <w:tcPr>
            <w:tcW w:w="380" w:type="dxa"/>
            <w:vAlign w:val="bottom"/>
          </w:tcPr>
          <w:p>
            <w:pPr>
              <w:ind w:left="60"/>
              <w:spacing w:after="0"/>
              <w:rPr>
                <w:sz w:val="20"/>
                <w:szCs w:val="20"/>
                <w:color w:val="auto"/>
              </w:rPr>
            </w:pPr>
            <w:r>
              <w:rPr>
                <w:rFonts w:ascii="Arial" w:cs="Arial" w:eastAsia="Arial" w:hAnsi="Arial"/>
                <w:sz w:val="18"/>
                <w:szCs w:val="18"/>
                <w:color w:val="auto"/>
                <w:w w:val="99"/>
              </w:rPr>
              <w:t>N/A</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w w:val="90"/>
              </w:rPr>
              <w:t>10 consecutive Business Days (see Section 7.12)</w:t>
            </w:r>
          </w:p>
        </w:tc>
        <w:tc>
          <w:tcPr>
            <w:tcW w:w="2080" w:type="dxa"/>
            <w:vAlign w:val="bottom"/>
          </w:tcPr>
          <w:p>
            <w:pPr>
              <w:ind w:left="60"/>
              <w:spacing w:after="0"/>
              <w:rPr>
                <w:sz w:val="20"/>
                <w:szCs w:val="20"/>
                <w:color w:val="auto"/>
              </w:rPr>
            </w:pPr>
            <w:r>
              <w:rPr>
                <w:rFonts w:ascii="Arial" w:cs="Arial" w:eastAsia="Arial" w:hAnsi="Arial"/>
                <w:sz w:val="18"/>
                <w:szCs w:val="18"/>
                <w:color w:val="auto"/>
                <w:w w:val="91"/>
              </w:rPr>
              <w:t>consecutive Business Days</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2080" w:type="dxa"/>
            <w:vAlign w:val="bottom"/>
          </w:tcPr>
          <w:p>
            <w:pPr>
              <w:ind w:left="60"/>
              <w:spacing w:after="0"/>
              <w:rPr>
                <w:sz w:val="20"/>
                <w:szCs w:val="20"/>
                <w:color w:val="auto"/>
              </w:rPr>
            </w:pPr>
            <w:r>
              <w:rPr>
                <w:rFonts w:ascii="Arial" w:cs="Arial" w:eastAsia="Arial" w:hAnsi="Arial"/>
                <w:sz w:val="18"/>
                <w:szCs w:val="18"/>
                <w:color w:val="auto"/>
              </w:rPr>
              <w:t>during measurement</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2080" w:type="dxa"/>
            <w:vAlign w:val="bottom"/>
          </w:tcPr>
          <w:p>
            <w:pPr>
              <w:ind w:left="60"/>
              <w:spacing w:after="0"/>
              <w:rPr>
                <w:sz w:val="20"/>
                <w:szCs w:val="20"/>
                <w:color w:val="auto"/>
              </w:rPr>
            </w:pPr>
            <w:r>
              <w:rPr>
                <w:rFonts w:ascii="Arial" w:cs="Arial" w:eastAsia="Arial" w:hAnsi="Arial"/>
                <w:sz w:val="18"/>
                <w:szCs w:val="18"/>
                <w:color w:val="auto"/>
              </w:rPr>
              <w:t>period:</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0"/>
        </w:trPr>
        <w:tc>
          <w:tcPr>
            <w:tcW w:w="3600" w:type="dxa"/>
            <w:vAlign w:val="bottom"/>
          </w:tcPr>
          <w:p>
            <w:pPr>
              <w:spacing w:after="0"/>
              <w:rPr>
                <w:sz w:val="20"/>
                <w:szCs w:val="20"/>
                <w:color w:val="auto"/>
              </w:rPr>
            </w:pPr>
          </w:p>
        </w:tc>
        <w:tc>
          <w:tcPr>
            <w:tcW w:w="2080" w:type="dxa"/>
            <w:vAlign w:val="bottom"/>
          </w:tcPr>
          <w:p>
            <w:pPr>
              <w:ind w:left="60"/>
              <w:spacing w:after="0"/>
              <w:rPr>
                <w:sz w:val="20"/>
                <w:szCs w:val="20"/>
                <w:color w:val="auto"/>
              </w:rPr>
            </w:pPr>
            <w:r>
              <w:rPr>
                <w:rFonts w:ascii="Arial" w:cs="Arial" w:eastAsia="Arial" w:hAnsi="Arial"/>
                <w:sz w:val="18"/>
                <w:szCs w:val="18"/>
                <w:color w:val="auto"/>
              </w:rPr>
              <w:t>$______________</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23"/>
        </w:trPr>
        <w:tc>
          <w:tcPr>
            <w:tcW w:w="3600" w:type="dxa"/>
            <w:vAlign w:val="bottom"/>
          </w:tcPr>
          <w:p>
            <w:pPr>
              <w:spacing w:after="0"/>
              <w:rPr>
                <w:sz w:val="20"/>
                <w:szCs w:val="20"/>
                <w:color w:val="auto"/>
              </w:rPr>
            </w:pPr>
            <w:r>
              <w:rPr>
                <w:rFonts w:ascii="Arial" w:cs="Arial" w:eastAsia="Arial" w:hAnsi="Arial"/>
                <w:sz w:val="18"/>
                <w:szCs w:val="18"/>
                <w:color w:val="auto"/>
              </w:rPr>
              <w:t>Not more than lower of (a) $7,000,000.00 (or</w:t>
            </w:r>
          </w:p>
        </w:tc>
        <w:tc>
          <w:tcPr>
            <w:tcW w:w="2080" w:type="dxa"/>
            <w:vAlign w:val="bottom"/>
          </w:tcPr>
          <w:p>
            <w:pPr>
              <w:ind w:left="60"/>
              <w:spacing w:after="0"/>
              <w:rPr>
                <w:sz w:val="20"/>
                <w:szCs w:val="20"/>
                <w:color w:val="auto"/>
              </w:rPr>
            </w:pPr>
            <w:r>
              <w:rPr>
                <w:rFonts w:ascii="Arial" w:cs="Arial" w:eastAsia="Arial" w:hAnsi="Arial"/>
                <w:sz w:val="18"/>
                <w:szCs w:val="18"/>
                <w:color w:val="auto"/>
              </w:rPr>
              <w:t>Largest amount held</w:t>
            </w:r>
          </w:p>
        </w:tc>
        <w:tc>
          <w:tcPr>
            <w:tcW w:w="400" w:type="dxa"/>
            <w:vAlign w:val="bottom"/>
          </w:tcPr>
          <w:p>
            <w:pPr>
              <w:ind w:left="60"/>
              <w:spacing w:after="0"/>
              <w:rPr>
                <w:sz w:val="20"/>
                <w:szCs w:val="20"/>
                <w:color w:val="auto"/>
              </w:rPr>
            </w:pPr>
            <w:r>
              <w:rPr>
                <w:rFonts w:ascii="Arial" w:cs="Arial" w:eastAsia="Arial" w:hAnsi="Arial"/>
                <w:sz w:val="18"/>
                <w:szCs w:val="18"/>
                <w:color w:val="auto"/>
              </w:rPr>
              <w:t>Yes</w:t>
            </w:r>
          </w:p>
        </w:tc>
        <w:tc>
          <w:tcPr>
            <w:tcW w:w="360" w:type="dxa"/>
            <w:vAlign w:val="bottom"/>
          </w:tcPr>
          <w:p>
            <w:pPr>
              <w:ind w:left="80"/>
              <w:spacing w:after="0"/>
              <w:rPr>
                <w:sz w:val="20"/>
                <w:szCs w:val="20"/>
                <w:color w:val="auto"/>
              </w:rPr>
            </w:pPr>
            <w:r>
              <w:rPr>
                <w:rFonts w:ascii="Arial" w:cs="Arial" w:eastAsia="Arial" w:hAnsi="Arial"/>
                <w:sz w:val="18"/>
                <w:szCs w:val="18"/>
                <w:color w:val="auto"/>
              </w:rPr>
              <w:t>No</w:t>
            </w:r>
          </w:p>
        </w:tc>
        <w:tc>
          <w:tcPr>
            <w:tcW w:w="380" w:type="dxa"/>
            <w:vAlign w:val="bottom"/>
          </w:tcPr>
          <w:p>
            <w:pPr>
              <w:ind w:left="60"/>
              <w:spacing w:after="0"/>
              <w:rPr>
                <w:sz w:val="20"/>
                <w:szCs w:val="20"/>
                <w:color w:val="auto"/>
              </w:rPr>
            </w:pPr>
            <w:r>
              <w:rPr>
                <w:rFonts w:ascii="Arial" w:cs="Arial" w:eastAsia="Arial" w:hAnsi="Arial"/>
                <w:sz w:val="18"/>
                <w:szCs w:val="18"/>
                <w:color w:val="auto"/>
                <w:w w:val="99"/>
              </w:rPr>
              <w:t>N/A</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w w:val="95"/>
              </w:rPr>
              <w:t>equivalent) and (b) 20% of the aggregate value</w:t>
            </w:r>
          </w:p>
        </w:tc>
        <w:tc>
          <w:tcPr>
            <w:tcW w:w="2080" w:type="dxa"/>
            <w:vAlign w:val="bottom"/>
          </w:tcPr>
          <w:p>
            <w:pPr>
              <w:ind w:left="60"/>
              <w:spacing w:after="0"/>
              <w:rPr>
                <w:sz w:val="20"/>
                <w:szCs w:val="20"/>
                <w:color w:val="auto"/>
              </w:rPr>
            </w:pPr>
            <w:r>
              <w:rPr>
                <w:rFonts w:ascii="Arial" w:cs="Arial" w:eastAsia="Arial" w:hAnsi="Arial"/>
                <w:sz w:val="18"/>
                <w:szCs w:val="18"/>
                <w:color w:val="auto"/>
              </w:rPr>
              <w:t>during measurement</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w w:val="99"/>
              </w:rPr>
              <w:t>of cash and investments made in accordance</w:t>
            </w:r>
          </w:p>
        </w:tc>
        <w:tc>
          <w:tcPr>
            <w:tcW w:w="2080" w:type="dxa"/>
            <w:vAlign w:val="bottom"/>
          </w:tcPr>
          <w:p>
            <w:pPr>
              <w:ind w:left="60"/>
              <w:spacing w:after="0"/>
              <w:rPr>
                <w:sz w:val="20"/>
                <w:szCs w:val="20"/>
                <w:color w:val="auto"/>
              </w:rPr>
            </w:pPr>
            <w:r>
              <w:rPr>
                <w:rFonts w:ascii="Arial" w:cs="Arial" w:eastAsia="Arial" w:hAnsi="Arial"/>
                <w:sz w:val="18"/>
                <w:szCs w:val="18"/>
                <w:color w:val="auto"/>
              </w:rPr>
              <w:t>period:</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w w:val="96"/>
              </w:rPr>
              <w:t>with the Investment Policy held by 89bio Israel</w:t>
            </w:r>
          </w:p>
        </w:tc>
        <w:tc>
          <w:tcPr>
            <w:tcW w:w="208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by Borrower and its Subsidiaries (see</w:t>
            </w:r>
          </w:p>
        </w:tc>
        <w:tc>
          <w:tcPr>
            <w:tcW w:w="2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Section 7.13)</w:t>
            </w:r>
          </w:p>
        </w:tc>
        <w:tc>
          <w:tcPr>
            <w:tcW w:w="2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2">
            <w:col w:w="3940" w:space="260"/>
            <w:col w:w="6820"/>
          </w:cols>
          <w:pgMar w:left="440" w:top="378" w:right="439" w:bottom="1440" w:gutter="0" w:footer="0" w:header="0"/>
          <w:type w:val="continuous"/>
        </w:sectPr>
      </w:pPr>
    </w:p>
    <w:p>
      <w:pPr>
        <w:ind w:left="440"/>
        <w:spacing w:after="0"/>
        <w:rPr>
          <w:sz w:val="20"/>
          <w:szCs w:val="20"/>
          <w:color w:val="auto"/>
        </w:rPr>
      </w:pPr>
      <w:r>
        <w:rPr>
          <w:rFonts w:ascii="Arial" w:cs="Arial" w:eastAsia="Arial" w:hAnsi="Arial"/>
          <w:sz w:val="18"/>
          <w:szCs w:val="18"/>
          <w:b w:val="1"/>
          <w:bCs w:val="1"/>
          <w:u w:val="single" w:color="auto"/>
          <w:color w:val="auto"/>
        </w:rPr>
        <w:t>Deposit and Securities Accounts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Please list all accounts; attach separate sheet if additional space needed</w:t>
      </w:r>
      <w:r>
        <w:rPr>
          <w:rFonts w:ascii="Arial" w:cs="Arial" w:eastAsia="Arial" w:hAnsi="Arial"/>
          <w:sz w:val="18"/>
          <w:szCs w:val="18"/>
          <w:b w:val="1"/>
          <w:bCs w:val="1"/>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jc w:val="right"/>
              <w:ind w:right="1774"/>
              <w:spacing w:after="0"/>
              <w:rPr>
                <w:sz w:val="20"/>
                <w:szCs w:val="20"/>
                <w:color w:val="auto"/>
              </w:rPr>
            </w:pPr>
            <w:r>
              <w:rPr>
                <w:rFonts w:ascii="Arial" w:cs="Arial" w:eastAsia="Arial" w:hAnsi="Arial"/>
                <w:sz w:val="14"/>
                <w:szCs w:val="14"/>
                <w:b w:val="1"/>
                <w:bCs w:val="1"/>
                <w:color w:val="auto"/>
              </w:rPr>
              <w:t>Institution Name</w:t>
            </w:r>
          </w:p>
        </w:tc>
        <w:tc>
          <w:tcPr>
            <w:tcW w:w="3620" w:type="dxa"/>
            <w:vAlign w:val="bottom"/>
          </w:tcPr>
          <w:p>
            <w:pPr>
              <w:ind w:left="1880"/>
              <w:spacing w:after="0"/>
              <w:rPr>
                <w:sz w:val="20"/>
                <w:szCs w:val="20"/>
                <w:color w:val="auto"/>
              </w:rPr>
            </w:pPr>
            <w:r>
              <w:rPr>
                <w:rFonts w:ascii="Arial" w:cs="Arial" w:eastAsia="Arial" w:hAnsi="Arial"/>
                <w:sz w:val="14"/>
                <w:szCs w:val="14"/>
                <w:b w:val="1"/>
                <w:bCs w:val="1"/>
                <w:color w:val="auto"/>
              </w:rPr>
              <w:t>Account Number</w:t>
            </w:r>
          </w:p>
        </w:tc>
        <w:tc>
          <w:tcPr>
            <w:tcW w:w="1720" w:type="dxa"/>
            <w:vAlign w:val="bottom"/>
            <w:gridSpan w:val="2"/>
          </w:tcPr>
          <w:p>
            <w:pPr>
              <w:ind w:left="720"/>
              <w:spacing w:after="0"/>
              <w:rPr>
                <w:sz w:val="20"/>
                <w:szCs w:val="20"/>
                <w:color w:val="auto"/>
              </w:rPr>
            </w:pPr>
            <w:r>
              <w:rPr>
                <w:rFonts w:ascii="Arial" w:cs="Arial" w:eastAsia="Arial" w:hAnsi="Arial"/>
                <w:sz w:val="14"/>
                <w:szCs w:val="14"/>
                <w:b w:val="1"/>
                <w:bCs w:val="1"/>
                <w:color w:val="auto"/>
              </w:rPr>
              <w:t>New Account?</w:t>
            </w:r>
          </w:p>
        </w:tc>
        <w:tc>
          <w:tcPr>
            <w:tcW w:w="2420" w:type="dxa"/>
            <w:vAlign w:val="bottom"/>
            <w:gridSpan w:val="2"/>
          </w:tcPr>
          <w:p>
            <w:pPr>
              <w:ind w:left="120"/>
              <w:spacing w:after="0"/>
              <w:rPr>
                <w:sz w:val="20"/>
                <w:szCs w:val="20"/>
                <w:color w:val="auto"/>
              </w:rPr>
            </w:pPr>
            <w:r>
              <w:rPr>
                <w:rFonts w:ascii="Arial" w:cs="Arial" w:eastAsia="Arial" w:hAnsi="Arial"/>
                <w:sz w:val="14"/>
                <w:szCs w:val="14"/>
                <w:b w:val="1"/>
                <w:bCs w:val="1"/>
                <w:color w:val="auto"/>
                <w:w w:val="90"/>
              </w:rPr>
              <w:t>Account Control Agreement in place?</w:t>
            </w:r>
          </w:p>
        </w:tc>
      </w:tr>
      <w:tr>
        <w:trPr>
          <w:trHeight w:val="216"/>
        </w:trPr>
        <w:tc>
          <w:tcPr>
            <w:tcW w:w="3240" w:type="dxa"/>
            <w:vAlign w:val="bottom"/>
          </w:tcPr>
          <w:p>
            <w:pPr>
              <w:jc w:val="right"/>
              <w:ind w:right="3014"/>
              <w:spacing w:after="0"/>
              <w:rPr>
                <w:sz w:val="20"/>
                <w:szCs w:val="20"/>
                <w:color w:val="auto"/>
              </w:rPr>
            </w:pPr>
            <w:r>
              <w:rPr>
                <w:rFonts w:ascii="Arial" w:cs="Arial" w:eastAsia="Arial" w:hAnsi="Arial"/>
                <w:sz w:val="18"/>
                <w:szCs w:val="18"/>
                <w:b w:val="1"/>
                <w:bCs w:val="1"/>
                <w:color w:val="auto"/>
                <w:w w:val="74"/>
              </w:rPr>
              <w:t>1)</w:t>
            </w:r>
          </w:p>
        </w:tc>
        <w:tc>
          <w:tcPr>
            <w:tcW w:w="3620" w:type="dxa"/>
            <w:vAlign w:val="bottom"/>
          </w:tcPr>
          <w:p>
            <w:pPr>
              <w:spacing w:after="0"/>
              <w:rPr>
                <w:sz w:val="18"/>
                <w:szCs w:val="18"/>
                <w:color w:val="auto"/>
              </w:rPr>
            </w:pPr>
          </w:p>
        </w:tc>
        <w:tc>
          <w:tcPr>
            <w:tcW w:w="1120" w:type="dxa"/>
            <w:vAlign w:val="bottom"/>
          </w:tcPr>
          <w:p>
            <w:pPr>
              <w:ind w:left="680"/>
              <w:spacing w:after="0"/>
              <w:rPr>
                <w:sz w:val="20"/>
                <w:szCs w:val="20"/>
                <w:color w:val="auto"/>
              </w:rPr>
            </w:pPr>
            <w:r>
              <w:rPr>
                <w:rFonts w:ascii="Arial" w:cs="Arial" w:eastAsia="Arial" w:hAnsi="Arial"/>
                <w:sz w:val="18"/>
                <w:szCs w:val="18"/>
                <w:color w:val="auto"/>
              </w:rPr>
              <w:t>Yes</w:t>
            </w:r>
          </w:p>
        </w:tc>
        <w:tc>
          <w:tcPr>
            <w:tcW w:w="600" w:type="dxa"/>
            <w:vAlign w:val="bottom"/>
          </w:tcPr>
          <w:p>
            <w:pPr>
              <w:ind w:left="180"/>
              <w:spacing w:after="0"/>
              <w:rPr>
                <w:sz w:val="20"/>
                <w:szCs w:val="20"/>
                <w:color w:val="auto"/>
              </w:rPr>
            </w:pPr>
            <w:r>
              <w:rPr>
                <w:rFonts w:ascii="Arial" w:cs="Arial" w:eastAsia="Arial" w:hAnsi="Arial"/>
                <w:sz w:val="18"/>
                <w:szCs w:val="18"/>
                <w:color w:val="auto"/>
              </w:rPr>
              <w:t>No</w:t>
            </w:r>
          </w:p>
        </w:tc>
        <w:tc>
          <w:tcPr>
            <w:tcW w:w="940" w:type="dxa"/>
            <w:vAlign w:val="bottom"/>
          </w:tcPr>
          <w:p>
            <w:pPr>
              <w:ind w:left="120"/>
              <w:spacing w:after="0"/>
              <w:rPr>
                <w:sz w:val="20"/>
                <w:szCs w:val="20"/>
                <w:color w:val="auto"/>
              </w:rPr>
            </w:pPr>
            <w:r>
              <w:rPr>
                <w:rFonts w:ascii="Arial" w:cs="Arial" w:eastAsia="Arial" w:hAnsi="Arial"/>
                <w:sz w:val="18"/>
                <w:szCs w:val="18"/>
                <w:color w:val="auto"/>
              </w:rPr>
              <w:t>Yes</w:t>
            </w:r>
          </w:p>
        </w:tc>
        <w:tc>
          <w:tcPr>
            <w:tcW w:w="1480" w:type="dxa"/>
            <w:vAlign w:val="bottom"/>
          </w:tcPr>
          <w:p>
            <w:pPr>
              <w:ind w:left="580"/>
              <w:spacing w:after="0"/>
              <w:rPr>
                <w:sz w:val="20"/>
                <w:szCs w:val="20"/>
                <w:color w:val="auto"/>
              </w:rPr>
            </w:pPr>
            <w:r>
              <w:rPr>
                <w:rFonts w:ascii="Arial" w:cs="Arial" w:eastAsia="Arial" w:hAnsi="Arial"/>
                <w:sz w:val="18"/>
                <w:szCs w:val="18"/>
                <w:color w:val="auto"/>
              </w:rPr>
              <w:t>No</w:t>
            </w:r>
          </w:p>
        </w:tc>
      </w:tr>
      <w:tr>
        <w:trPr>
          <w:trHeight w:val="216"/>
        </w:trPr>
        <w:tc>
          <w:tcPr>
            <w:tcW w:w="3240" w:type="dxa"/>
            <w:vAlign w:val="bottom"/>
          </w:tcPr>
          <w:p>
            <w:pPr>
              <w:jc w:val="right"/>
              <w:ind w:right="3014"/>
              <w:spacing w:after="0"/>
              <w:rPr>
                <w:sz w:val="20"/>
                <w:szCs w:val="20"/>
                <w:color w:val="auto"/>
              </w:rPr>
            </w:pPr>
            <w:r>
              <w:rPr>
                <w:rFonts w:ascii="Arial" w:cs="Arial" w:eastAsia="Arial" w:hAnsi="Arial"/>
                <w:sz w:val="18"/>
                <w:szCs w:val="18"/>
                <w:b w:val="1"/>
                <w:bCs w:val="1"/>
                <w:color w:val="auto"/>
                <w:w w:val="74"/>
              </w:rPr>
              <w:t>2)</w:t>
            </w:r>
          </w:p>
        </w:tc>
        <w:tc>
          <w:tcPr>
            <w:tcW w:w="3620" w:type="dxa"/>
            <w:vAlign w:val="bottom"/>
          </w:tcPr>
          <w:p>
            <w:pPr>
              <w:spacing w:after="0"/>
              <w:rPr>
                <w:sz w:val="18"/>
                <w:szCs w:val="18"/>
                <w:color w:val="auto"/>
              </w:rPr>
            </w:pPr>
          </w:p>
        </w:tc>
        <w:tc>
          <w:tcPr>
            <w:tcW w:w="1120" w:type="dxa"/>
            <w:vAlign w:val="bottom"/>
          </w:tcPr>
          <w:p>
            <w:pPr>
              <w:ind w:left="680"/>
              <w:spacing w:after="0"/>
              <w:rPr>
                <w:sz w:val="20"/>
                <w:szCs w:val="20"/>
                <w:color w:val="auto"/>
              </w:rPr>
            </w:pPr>
            <w:r>
              <w:rPr>
                <w:rFonts w:ascii="Arial" w:cs="Arial" w:eastAsia="Arial" w:hAnsi="Arial"/>
                <w:sz w:val="18"/>
                <w:szCs w:val="18"/>
                <w:color w:val="auto"/>
              </w:rPr>
              <w:t>Yes</w:t>
            </w:r>
          </w:p>
        </w:tc>
        <w:tc>
          <w:tcPr>
            <w:tcW w:w="600" w:type="dxa"/>
            <w:vAlign w:val="bottom"/>
          </w:tcPr>
          <w:p>
            <w:pPr>
              <w:ind w:left="180"/>
              <w:spacing w:after="0"/>
              <w:rPr>
                <w:sz w:val="20"/>
                <w:szCs w:val="20"/>
                <w:color w:val="auto"/>
              </w:rPr>
            </w:pPr>
            <w:r>
              <w:rPr>
                <w:rFonts w:ascii="Arial" w:cs="Arial" w:eastAsia="Arial" w:hAnsi="Arial"/>
                <w:sz w:val="18"/>
                <w:szCs w:val="18"/>
                <w:color w:val="auto"/>
              </w:rPr>
              <w:t>No</w:t>
            </w:r>
          </w:p>
        </w:tc>
        <w:tc>
          <w:tcPr>
            <w:tcW w:w="940" w:type="dxa"/>
            <w:vAlign w:val="bottom"/>
          </w:tcPr>
          <w:p>
            <w:pPr>
              <w:ind w:left="120"/>
              <w:spacing w:after="0"/>
              <w:rPr>
                <w:sz w:val="20"/>
                <w:szCs w:val="20"/>
                <w:color w:val="auto"/>
              </w:rPr>
            </w:pPr>
            <w:r>
              <w:rPr>
                <w:rFonts w:ascii="Arial" w:cs="Arial" w:eastAsia="Arial" w:hAnsi="Arial"/>
                <w:sz w:val="18"/>
                <w:szCs w:val="18"/>
                <w:color w:val="auto"/>
              </w:rPr>
              <w:t>Yes</w:t>
            </w:r>
          </w:p>
        </w:tc>
        <w:tc>
          <w:tcPr>
            <w:tcW w:w="1480" w:type="dxa"/>
            <w:vAlign w:val="bottom"/>
          </w:tcPr>
          <w:p>
            <w:pPr>
              <w:ind w:left="580"/>
              <w:spacing w:after="0"/>
              <w:rPr>
                <w:sz w:val="20"/>
                <w:szCs w:val="20"/>
                <w:color w:val="auto"/>
              </w:rPr>
            </w:pPr>
            <w:r>
              <w:rPr>
                <w:rFonts w:ascii="Arial" w:cs="Arial" w:eastAsia="Arial" w:hAnsi="Arial"/>
                <w:sz w:val="18"/>
                <w:szCs w:val="18"/>
                <w:color w:val="auto"/>
              </w:rPr>
              <w:t>No</w:t>
            </w:r>
          </w:p>
        </w:tc>
      </w:tr>
      <w:tr>
        <w:trPr>
          <w:trHeight w:val="216"/>
        </w:trPr>
        <w:tc>
          <w:tcPr>
            <w:tcW w:w="3240" w:type="dxa"/>
            <w:vAlign w:val="bottom"/>
          </w:tcPr>
          <w:p>
            <w:pPr>
              <w:jc w:val="right"/>
              <w:ind w:right="3014"/>
              <w:spacing w:after="0"/>
              <w:rPr>
                <w:sz w:val="20"/>
                <w:szCs w:val="20"/>
                <w:color w:val="auto"/>
              </w:rPr>
            </w:pPr>
            <w:r>
              <w:rPr>
                <w:rFonts w:ascii="Arial" w:cs="Arial" w:eastAsia="Arial" w:hAnsi="Arial"/>
                <w:sz w:val="18"/>
                <w:szCs w:val="18"/>
                <w:b w:val="1"/>
                <w:bCs w:val="1"/>
                <w:color w:val="auto"/>
                <w:w w:val="74"/>
              </w:rPr>
              <w:t>3)</w:t>
            </w:r>
          </w:p>
        </w:tc>
        <w:tc>
          <w:tcPr>
            <w:tcW w:w="3620" w:type="dxa"/>
            <w:vAlign w:val="bottom"/>
          </w:tcPr>
          <w:p>
            <w:pPr>
              <w:spacing w:after="0"/>
              <w:rPr>
                <w:sz w:val="18"/>
                <w:szCs w:val="18"/>
                <w:color w:val="auto"/>
              </w:rPr>
            </w:pPr>
          </w:p>
        </w:tc>
        <w:tc>
          <w:tcPr>
            <w:tcW w:w="1120" w:type="dxa"/>
            <w:vAlign w:val="bottom"/>
          </w:tcPr>
          <w:p>
            <w:pPr>
              <w:ind w:left="680"/>
              <w:spacing w:after="0"/>
              <w:rPr>
                <w:sz w:val="20"/>
                <w:szCs w:val="20"/>
                <w:color w:val="auto"/>
              </w:rPr>
            </w:pPr>
            <w:r>
              <w:rPr>
                <w:rFonts w:ascii="Arial" w:cs="Arial" w:eastAsia="Arial" w:hAnsi="Arial"/>
                <w:sz w:val="18"/>
                <w:szCs w:val="18"/>
                <w:color w:val="auto"/>
              </w:rPr>
              <w:t>Yes</w:t>
            </w:r>
          </w:p>
        </w:tc>
        <w:tc>
          <w:tcPr>
            <w:tcW w:w="600" w:type="dxa"/>
            <w:vAlign w:val="bottom"/>
          </w:tcPr>
          <w:p>
            <w:pPr>
              <w:ind w:left="180"/>
              <w:spacing w:after="0"/>
              <w:rPr>
                <w:sz w:val="20"/>
                <w:szCs w:val="20"/>
                <w:color w:val="auto"/>
              </w:rPr>
            </w:pPr>
            <w:r>
              <w:rPr>
                <w:rFonts w:ascii="Arial" w:cs="Arial" w:eastAsia="Arial" w:hAnsi="Arial"/>
                <w:sz w:val="18"/>
                <w:szCs w:val="18"/>
                <w:color w:val="auto"/>
              </w:rPr>
              <w:t>No</w:t>
            </w:r>
          </w:p>
        </w:tc>
        <w:tc>
          <w:tcPr>
            <w:tcW w:w="940" w:type="dxa"/>
            <w:vAlign w:val="bottom"/>
          </w:tcPr>
          <w:p>
            <w:pPr>
              <w:ind w:left="120"/>
              <w:spacing w:after="0"/>
              <w:rPr>
                <w:sz w:val="20"/>
                <w:szCs w:val="20"/>
                <w:color w:val="auto"/>
              </w:rPr>
            </w:pPr>
            <w:r>
              <w:rPr>
                <w:rFonts w:ascii="Arial" w:cs="Arial" w:eastAsia="Arial" w:hAnsi="Arial"/>
                <w:sz w:val="18"/>
                <w:szCs w:val="18"/>
                <w:color w:val="auto"/>
              </w:rPr>
              <w:t>Yes</w:t>
            </w:r>
          </w:p>
        </w:tc>
        <w:tc>
          <w:tcPr>
            <w:tcW w:w="1480" w:type="dxa"/>
            <w:vAlign w:val="bottom"/>
          </w:tcPr>
          <w:p>
            <w:pPr>
              <w:ind w:left="580"/>
              <w:spacing w:after="0"/>
              <w:rPr>
                <w:sz w:val="20"/>
                <w:szCs w:val="20"/>
                <w:color w:val="auto"/>
              </w:rPr>
            </w:pPr>
            <w:r>
              <w:rPr>
                <w:rFonts w:ascii="Arial" w:cs="Arial" w:eastAsia="Arial" w:hAnsi="Arial"/>
                <w:sz w:val="18"/>
                <w:szCs w:val="18"/>
                <w:color w:val="auto"/>
              </w:rPr>
              <w:t>No</w:t>
            </w:r>
          </w:p>
        </w:tc>
      </w:tr>
      <w:tr>
        <w:trPr>
          <w:trHeight w:val="234"/>
        </w:trPr>
        <w:tc>
          <w:tcPr>
            <w:tcW w:w="3240" w:type="dxa"/>
            <w:vAlign w:val="bottom"/>
          </w:tcPr>
          <w:p>
            <w:pPr>
              <w:jc w:val="right"/>
              <w:ind w:right="3014"/>
              <w:spacing w:after="0"/>
              <w:rPr>
                <w:sz w:val="20"/>
                <w:szCs w:val="20"/>
                <w:color w:val="auto"/>
              </w:rPr>
            </w:pPr>
            <w:r>
              <w:rPr>
                <w:rFonts w:ascii="Arial" w:cs="Arial" w:eastAsia="Arial" w:hAnsi="Arial"/>
                <w:sz w:val="18"/>
                <w:szCs w:val="18"/>
                <w:b w:val="1"/>
                <w:bCs w:val="1"/>
                <w:color w:val="auto"/>
                <w:w w:val="74"/>
              </w:rPr>
              <w:t>4)</w:t>
            </w:r>
          </w:p>
        </w:tc>
        <w:tc>
          <w:tcPr>
            <w:tcW w:w="3620" w:type="dxa"/>
            <w:vAlign w:val="bottom"/>
          </w:tcPr>
          <w:p>
            <w:pPr>
              <w:spacing w:after="0"/>
              <w:rPr>
                <w:sz w:val="20"/>
                <w:szCs w:val="20"/>
                <w:color w:val="auto"/>
              </w:rPr>
            </w:pPr>
          </w:p>
        </w:tc>
        <w:tc>
          <w:tcPr>
            <w:tcW w:w="1120" w:type="dxa"/>
            <w:vAlign w:val="bottom"/>
          </w:tcPr>
          <w:p>
            <w:pPr>
              <w:ind w:left="680"/>
              <w:spacing w:after="0"/>
              <w:rPr>
                <w:sz w:val="20"/>
                <w:szCs w:val="20"/>
                <w:color w:val="auto"/>
              </w:rPr>
            </w:pPr>
            <w:r>
              <w:rPr>
                <w:rFonts w:ascii="Arial" w:cs="Arial" w:eastAsia="Arial" w:hAnsi="Arial"/>
                <w:sz w:val="18"/>
                <w:szCs w:val="18"/>
                <w:color w:val="auto"/>
              </w:rPr>
              <w:t>Yes</w:t>
            </w:r>
          </w:p>
        </w:tc>
        <w:tc>
          <w:tcPr>
            <w:tcW w:w="600" w:type="dxa"/>
            <w:vAlign w:val="bottom"/>
          </w:tcPr>
          <w:p>
            <w:pPr>
              <w:ind w:left="180"/>
              <w:spacing w:after="0"/>
              <w:rPr>
                <w:sz w:val="20"/>
                <w:szCs w:val="20"/>
                <w:color w:val="auto"/>
              </w:rPr>
            </w:pPr>
            <w:r>
              <w:rPr>
                <w:rFonts w:ascii="Arial" w:cs="Arial" w:eastAsia="Arial" w:hAnsi="Arial"/>
                <w:sz w:val="18"/>
                <w:szCs w:val="18"/>
                <w:color w:val="auto"/>
              </w:rPr>
              <w:t>No</w:t>
            </w:r>
          </w:p>
        </w:tc>
        <w:tc>
          <w:tcPr>
            <w:tcW w:w="940" w:type="dxa"/>
            <w:vAlign w:val="bottom"/>
          </w:tcPr>
          <w:p>
            <w:pPr>
              <w:ind w:left="120"/>
              <w:spacing w:after="0"/>
              <w:rPr>
                <w:sz w:val="20"/>
                <w:szCs w:val="20"/>
                <w:color w:val="auto"/>
              </w:rPr>
            </w:pPr>
            <w:r>
              <w:rPr>
                <w:rFonts w:ascii="Arial" w:cs="Arial" w:eastAsia="Arial" w:hAnsi="Arial"/>
                <w:sz w:val="18"/>
                <w:szCs w:val="18"/>
                <w:color w:val="auto"/>
              </w:rPr>
              <w:t>Yes</w:t>
            </w:r>
          </w:p>
        </w:tc>
        <w:tc>
          <w:tcPr>
            <w:tcW w:w="1480" w:type="dxa"/>
            <w:vAlign w:val="bottom"/>
          </w:tcPr>
          <w:p>
            <w:pPr>
              <w:ind w:left="580"/>
              <w:spacing w:after="0"/>
              <w:rPr>
                <w:sz w:val="20"/>
                <w:szCs w:val="20"/>
                <w:color w:val="auto"/>
              </w:rPr>
            </w:pPr>
            <w:r>
              <w:rPr>
                <w:rFonts w:ascii="Arial" w:cs="Arial" w:eastAsia="Arial" w:hAnsi="Arial"/>
                <w:sz w:val="18"/>
                <w:szCs w:val="18"/>
                <w:color w:val="auto"/>
              </w:rPr>
              <w:t>No</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Other Matters</w:t>
            </w:r>
          </w:p>
        </w:tc>
        <w:tc>
          <w:tcPr>
            <w:tcW w:w="8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80"/>
        </w:trPr>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w w:val="74"/>
              </w:rPr>
              <w:t>1)</w:t>
            </w:r>
          </w:p>
        </w:tc>
        <w:tc>
          <w:tcPr>
            <w:tcW w:w="9940" w:type="dxa"/>
            <w:vAlign w:val="bottom"/>
            <w:gridSpan w:val="3"/>
          </w:tcPr>
          <w:p>
            <w:pPr>
              <w:ind w:left="100"/>
              <w:spacing w:after="0"/>
              <w:rPr>
                <w:sz w:val="20"/>
                <w:szCs w:val="20"/>
                <w:color w:val="auto"/>
              </w:rPr>
            </w:pPr>
            <w:r>
              <w:rPr>
                <w:rFonts w:ascii="Arial" w:cs="Arial" w:eastAsia="Arial" w:hAnsi="Arial"/>
                <w:sz w:val="18"/>
                <w:szCs w:val="18"/>
                <w:color w:val="auto"/>
              </w:rPr>
              <w:t>Have there been any changes in management (solely with respect to Key Persons) since the last Compliance Certificate?</w:t>
            </w:r>
          </w:p>
        </w:tc>
        <w:tc>
          <w:tcPr>
            <w:tcW w:w="520" w:type="dxa"/>
            <w:vAlign w:val="bottom"/>
          </w:tcPr>
          <w:p>
            <w:pPr>
              <w:ind w:left="180"/>
              <w:spacing w:after="0"/>
              <w:rPr>
                <w:sz w:val="20"/>
                <w:szCs w:val="20"/>
                <w:color w:val="auto"/>
              </w:rPr>
            </w:pPr>
            <w:r>
              <w:rPr>
                <w:rFonts w:ascii="Arial" w:cs="Arial" w:eastAsia="Arial" w:hAnsi="Arial"/>
                <w:sz w:val="18"/>
                <w:szCs w:val="18"/>
                <w:color w:val="auto"/>
              </w:rPr>
              <w:t>Yes</w:t>
            </w:r>
          </w:p>
        </w:tc>
        <w:tc>
          <w:tcPr>
            <w:tcW w:w="300" w:type="dxa"/>
            <w:vAlign w:val="bottom"/>
          </w:tcPr>
          <w:p>
            <w:pPr>
              <w:ind w:left="80"/>
              <w:spacing w:after="0"/>
              <w:rPr>
                <w:sz w:val="20"/>
                <w:szCs w:val="20"/>
                <w:color w:val="auto"/>
              </w:rPr>
            </w:pPr>
            <w:r>
              <w:rPr>
                <w:rFonts w:ascii="Arial" w:cs="Arial" w:eastAsia="Arial" w:hAnsi="Arial"/>
                <w:sz w:val="18"/>
                <w:szCs w:val="18"/>
                <w:color w:val="auto"/>
                <w:w w:val="86"/>
              </w:rPr>
              <w:t>No</w:t>
            </w:r>
          </w:p>
        </w:tc>
      </w:tr>
      <w:tr>
        <w:trPr>
          <w:trHeight w:val="324"/>
        </w:trPr>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w w:val="74"/>
              </w:rPr>
              <w:t>2)</w:t>
            </w:r>
          </w:p>
        </w:tc>
        <w:tc>
          <w:tcPr>
            <w:tcW w:w="9940" w:type="dxa"/>
            <w:vAlign w:val="bottom"/>
            <w:gridSpan w:val="3"/>
          </w:tcPr>
          <w:p>
            <w:pPr>
              <w:ind w:left="100"/>
              <w:spacing w:after="0"/>
              <w:rPr>
                <w:sz w:val="20"/>
                <w:szCs w:val="20"/>
                <w:color w:val="auto"/>
              </w:rPr>
            </w:pPr>
            <w:r>
              <w:rPr>
                <w:rFonts w:ascii="Arial" w:cs="Arial" w:eastAsia="Arial" w:hAnsi="Arial"/>
                <w:sz w:val="18"/>
                <w:szCs w:val="18"/>
                <w:color w:val="auto"/>
              </w:rPr>
              <w:t>Have there been any transfers/sales/disposals/retirement of Collateral or IP prohibited by the Loan Agreement?</w:t>
            </w:r>
          </w:p>
        </w:tc>
        <w:tc>
          <w:tcPr>
            <w:tcW w:w="520" w:type="dxa"/>
            <w:vAlign w:val="bottom"/>
          </w:tcPr>
          <w:p>
            <w:pPr>
              <w:ind w:left="180"/>
              <w:spacing w:after="0"/>
              <w:rPr>
                <w:sz w:val="20"/>
                <w:szCs w:val="20"/>
                <w:color w:val="auto"/>
              </w:rPr>
            </w:pPr>
            <w:r>
              <w:rPr>
                <w:rFonts w:ascii="Arial" w:cs="Arial" w:eastAsia="Arial" w:hAnsi="Arial"/>
                <w:sz w:val="18"/>
                <w:szCs w:val="18"/>
                <w:color w:val="auto"/>
              </w:rPr>
              <w:t>Yes</w:t>
            </w:r>
          </w:p>
        </w:tc>
        <w:tc>
          <w:tcPr>
            <w:tcW w:w="300" w:type="dxa"/>
            <w:vAlign w:val="bottom"/>
          </w:tcPr>
          <w:p>
            <w:pPr>
              <w:ind w:left="80"/>
              <w:spacing w:after="0"/>
              <w:rPr>
                <w:sz w:val="20"/>
                <w:szCs w:val="20"/>
                <w:color w:val="auto"/>
              </w:rPr>
            </w:pPr>
            <w:r>
              <w:rPr>
                <w:rFonts w:ascii="Arial" w:cs="Arial" w:eastAsia="Arial" w:hAnsi="Arial"/>
                <w:sz w:val="18"/>
                <w:szCs w:val="18"/>
                <w:color w:val="auto"/>
                <w:w w:val="86"/>
              </w:rPr>
              <w:t>No</w:t>
            </w:r>
          </w:p>
        </w:tc>
      </w:tr>
      <w:tr>
        <w:trPr>
          <w:trHeight w:val="310"/>
        </w:trPr>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w w:val="74"/>
              </w:rPr>
              <w:t>3)</w:t>
            </w:r>
          </w:p>
        </w:tc>
        <w:tc>
          <w:tcPr>
            <w:tcW w:w="9940" w:type="dxa"/>
            <w:vAlign w:val="bottom"/>
            <w:gridSpan w:val="3"/>
          </w:tcPr>
          <w:p>
            <w:pPr>
              <w:ind w:left="100"/>
              <w:spacing w:after="0"/>
              <w:rPr>
                <w:sz w:val="20"/>
                <w:szCs w:val="20"/>
                <w:color w:val="auto"/>
              </w:rPr>
            </w:pPr>
            <w:r>
              <w:rPr>
                <w:rFonts w:ascii="Arial" w:cs="Arial" w:eastAsia="Arial" w:hAnsi="Arial"/>
                <w:sz w:val="18"/>
                <w:szCs w:val="18"/>
                <w:color w:val="auto"/>
                <w:w w:val="91"/>
              </w:rPr>
              <w:t>Have there been any new or pending claims or causes of action against Borrower that involve more than Two Hundred Fifty Thousand</w:t>
            </w:r>
          </w:p>
        </w:tc>
        <w:tc>
          <w:tcPr>
            <w:tcW w:w="520" w:type="dxa"/>
            <w:vAlign w:val="bottom"/>
          </w:tcPr>
          <w:p>
            <w:pPr>
              <w:ind w:left="180"/>
              <w:spacing w:after="0"/>
              <w:rPr>
                <w:sz w:val="20"/>
                <w:szCs w:val="20"/>
                <w:color w:val="auto"/>
              </w:rPr>
            </w:pPr>
            <w:r>
              <w:rPr>
                <w:rFonts w:ascii="Arial" w:cs="Arial" w:eastAsia="Arial" w:hAnsi="Arial"/>
                <w:sz w:val="18"/>
                <w:szCs w:val="18"/>
                <w:color w:val="auto"/>
              </w:rPr>
              <w:t>Yes</w:t>
            </w:r>
          </w:p>
        </w:tc>
        <w:tc>
          <w:tcPr>
            <w:tcW w:w="300" w:type="dxa"/>
            <w:vAlign w:val="bottom"/>
          </w:tcPr>
          <w:p>
            <w:pPr>
              <w:ind w:left="80"/>
              <w:spacing w:after="0"/>
              <w:rPr>
                <w:sz w:val="20"/>
                <w:szCs w:val="20"/>
                <w:color w:val="auto"/>
              </w:rPr>
            </w:pPr>
            <w:r>
              <w:rPr>
                <w:rFonts w:ascii="Arial" w:cs="Arial" w:eastAsia="Arial" w:hAnsi="Arial"/>
                <w:sz w:val="18"/>
                <w:szCs w:val="18"/>
                <w:color w:val="auto"/>
                <w:w w:val="86"/>
              </w:rPr>
              <w:t>No</w:t>
            </w:r>
          </w:p>
        </w:tc>
      </w:tr>
      <w:tr>
        <w:trPr>
          <w:trHeight w:val="230"/>
        </w:trPr>
        <w:tc>
          <w:tcPr>
            <w:tcW w:w="240" w:type="dxa"/>
            <w:vAlign w:val="bottom"/>
          </w:tcPr>
          <w:p>
            <w:pPr>
              <w:spacing w:after="0"/>
              <w:rPr>
                <w:sz w:val="20"/>
                <w:szCs w:val="20"/>
                <w:color w:val="auto"/>
              </w:rPr>
            </w:pPr>
          </w:p>
        </w:tc>
        <w:tc>
          <w:tcPr>
            <w:tcW w:w="9940" w:type="dxa"/>
            <w:vAlign w:val="bottom"/>
            <w:gridSpan w:val="3"/>
          </w:tcPr>
          <w:p>
            <w:pPr>
              <w:ind w:left="100"/>
              <w:spacing w:after="0"/>
              <w:rPr>
                <w:sz w:val="20"/>
                <w:szCs w:val="20"/>
                <w:color w:val="auto"/>
              </w:rPr>
            </w:pPr>
            <w:r>
              <w:rPr>
                <w:rFonts w:ascii="Arial" w:cs="Arial" w:eastAsia="Arial" w:hAnsi="Arial"/>
                <w:sz w:val="18"/>
                <w:szCs w:val="18"/>
                <w:color w:val="auto"/>
              </w:rPr>
              <w:t>Dollars ($250,000.00)?</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10"/>
        </w:trPr>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w w:val="74"/>
              </w:rPr>
              <w:t>4)</w:t>
            </w:r>
          </w:p>
        </w:tc>
        <w:tc>
          <w:tcPr>
            <w:tcW w:w="9940" w:type="dxa"/>
            <w:vAlign w:val="bottom"/>
            <w:gridSpan w:val="3"/>
          </w:tcPr>
          <w:p>
            <w:pPr>
              <w:ind w:left="100"/>
              <w:spacing w:after="0"/>
              <w:rPr>
                <w:sz w:val="20"/>
                <w:szCs w:val="20"/>
                <w:color w:val="auto"/>
              </w:rPr>
            </w:pPr>
            <w:r>
              <w:rPr>
                <w:rFonts w:ascii="Arial" w:cs="Arial" w:eastAsia="Arial" w:hAnsi="Arial"/>
                <w:sz w:val="18"/>
                <w:szCs w:val="18"/>
                <w:color w:val="auto"/>
                <w:w w:val="96"/>
              </w:rPr>
              <w:t>Have there been any amendments of or other changes to the capitalization table of Borrower and to the Operating Documents of</w:t>
            </w:r>
          </w:p>
        </w:tc>
        <w:tc>
          <w:tcPr>
            <w:tcW w:w="520" w:type="dxa"/>
            <w:vAlign w:val="bottom"/>
          </w:tcPr>
          <w:p>
            <w:pPr>
              <w:ind w:left="180"/>
              <w:spacing w:after="0"/>
              <w:rPr>
                <w:sz w:val="20"/>
                <w:szCs w:val="20"/>
                <w:color w:val="auto"/>
              </w:rPr>
            </w:pPr>
            <w:r>
              <w:rPr>
                <w:rFonts w:ascii="Arial" w:cs="Arial" w:eastAsia="Arial" w:hAnsi="Arial"/>
                <w:sz w:val="18"/>
                <w:szCs w:val="18"/>
                <w:color w:val="auto"/>
              </w:rPr>
              <w:t>Yes</w:t>
            </w:r>
          </w:p>
        </w:tc>
        <w:tc>
          <w:tcPr>
            <w:tcW w:w="300" w:type="dxa"/>
            <w:vAlign w:val="bottom"/>
          </w:tcPr>
          <w:p>
            <w:pPr>
              <w:ind w:left="80"/>
              <w:spacing w:after="0"/>
              <w:rPr>
                <w:sz w:val="20"/>
                <w:szCs w:val="20"/>
                <w:color w:val="auto"/>
              </w:rPr>
            </w:pPr>
            <w:r>
              <w:rPr>
                <w:rFonts w:ascii="Arial" w:cs="Arial" w:eastAsia="Arial" w:hAnsi="Arial"/>
                <w:sz w:val="18"/>
                <w:szCs w:val="18"/>
                <w:color w:val="auto"/>
                <w:w w:val="86"/>
              </w:rPr>
              <w:t>No</w:t>
            </w:r>
          </w:p>
        </w:tc>
      </w:tr>
      <w:tr>
        <w:trPr>
          <w:trHeight w:val="230"/>
        </w:trPr>
        <w:tc>
          <w:tcPr>
            <w:tcW w:w="240" w:type="dxa"/>
            <w:vAlign w:val="bottom"/>
          </w:tcPr>
          <w:p>
            <w:pPr>
              <w:spacing w:after="0"/>
              <w:rPr>
                <w:sz w:val="20"/>
                <w:szCs w:val="20"/>
                <w:color w:val="auto"/>
              </w:rPr>
            </w:pPr>
          </w:p>
        </w:tc>
        <w:tc>
          <w:tcPr>
            <w:tcW w:w="9940" w:type="dxa"/>
            <w:vAlign w:val="bottom"/>
            <w:gridSpan w:val="3"/>
          </w:tcPr>
          <w:p>
            <w:pPr>
              <w:ind w:left="100"/>
              <w:spacing w:after="0"/>
              <w:rPr>
                <w:sz w:val="20"/>
                <w:szCs w:val="20"/>
                <w:color w:val="auto"/>
              </w:rPr>
            </w:pPr>
            <w:r>
              <w:rPr>
                <w:rFonts w:ascii="Arial" w:cs="Arial" w:eastAsia="Arial" w:hAnsi="Arial"/>
                <w:sz w:val="18"/>
                <w:szCs w:val="18"/>
                <w:color w:val="auto"/>
                <w:w w:val="96"/>
              </w:rPr>
              <w:t>Borrower or any of its Subsidiaries? If yes, provide copies of any such amendments or changes with this Compliance Certificate.</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r>
    </w:tbl>
    <w:p>
      <w:pPr>
        <w:sectPr>
          <w:pgSz w:w="11900" w:h="16838" w:orient="portrait"/>
          <w:cols w:equalWidth="0" w:num="1">
            <w:col w:w="11020"/>
          </w:cols>
          <w:pgMar w:left="440" w:top="378" w:right="4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explain any exceptions with respect to the certification above: (If no exceptions exist, state “No exceptions.” Attach separate sheet if additional space needed.)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89BIO,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89BIO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89BIO LTD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48"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LENDER USE ONLY</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Received by:</w:t>
            </w:r>
          </w:p>
        </w:tc>
        <w:tc>
          <w:tcPr>
            <w:tcW w:w="7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auto"/>
                <w:w w:val="83"/>
              </w:rPr>
              <w:t>Date:</w:t>
            </w: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Verified by:</w:t>
            </w:r>
          </w:p>
        </w:tc>
        <w:tc>
          <w:tcPr>
            <w:tcW w:w="7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auto"/>
                <w:w w:val="83"/>
              </w:rPr>
              <w:t>Date:</w:t>
            </w:r>
          </w:p>
        </w:tc>
      </w:tr>
      <w:tr>
        <w:trPr>
          <w:trHeight w:val="439"/>
        </w:trPr>
        <w:tc>
          <w:tcPr>
            <w:tcW w:w="1820" w:type="dxa"/>
            <w:vAlign w:val="bottom"/>
            <w:gridSpan w:val="2"/>
          </w:tcPr>
          <w:p>
            <w:pPr>
              <w:spacing w:after="0"/>
              <w:rPr>
                <w:sz w:val="20"/>
                <w:szCs w:val="20"/>
                <w:color w:val="auto"/>
              </w:rPr>
            </w:pPr>
            <w:r>
              <w:rPr>
                <w:rFonts w:ascii="Arial" w:cs="Arial" w:eastAsia="Arial" w:hAnsi="Arial"/>
                <w:sz w:val="18"/>
                <w:szCs w:val="18"/>
                <w:color w:val="auto"/>
              </w:rPr>
              <w:t>Compliance Status:</w:t>
            </w:r>
          </w:p>
        </w:tc>
        <w:tc>
          <w:tcPr>
            <w:tcW w:w="700" w:type="dxa"/>
            <w:vAlign w:val="bottom"/>
          </w:tcPr>
          <w:p>
            <w:pPr>
              <w:ind w:left="160"/>
              <w:spacing w:after="0"/>
              <w:rPr>
                <w:sz w:val="20"/>
                <w:szCs w:val="20"/>
                <w:color w:val="auto"/>
              </w:rPr>
            </w:pPr>
            <w:r>
              <w:rPr>
                <w:rFonts w:ascii="Arial" w:cs="Arial" w:eastAsia="Arial" w:hAnsi="Arial"/>
                <w:sz w:val="18"/>
                <w:szCs w:val="18"/>
                <w:color w:val="auto"/>
              </w:rPr>
              <w:t>Yes</w:t>
            </w: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-607695</wp:posOffset>
            </wp:positionV>
            <wp:extent cx="4572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-316230</wp:posOffset>
            </wp:positionV>
            <wp:extent cx="4572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ectPr>
          <w:pgSz w:w="11900" w:h="16838" w:orient="portrait"/>
          <w:cols w:equalWidth="0" w:num="1">
            <w:col w:w="10800"/>
          </w:cols>
          <w:pgMar w:left="440" w:top="270" w:right="659" w:bottom="1440" w:gutter="0" w:footer="0" w:header="0"/>
        </w:sectPr>
      </w:pPr>
    </w:p>
    <w:bookmarkStart w:id="60" w:name="page61"/>
    <w:bookmarkEnd w:id="60"/>
    <w:p>
      <w:pPr>
        <w:jc w:val="center"/>
        <w:ind w:right="-1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w:t>
      </w:r>
    </w:p>
    <w:p>
      <w:pPr>
        <w:spacing w:after="0" w:line="225" w:lineRule="exact"/>
        <w:rPr>
          <w:sz w:val="20"/>
          <w:szCs w:val="20"/>
          <w:color w:val="auto"/>
        </w:rPr>
      </w:pPr>
    </w:p>
    <w:p>
      <w:pPr>
        <w:jc w:val="center"/>
        <w:ind w:right="-143"/>
        <w:spacing w:after="0"/>
        <w:rPr>
          <w:sz w:val="20"/>
          <w:szCs w:val="20"/>
          <w:color w:val="auto"/>
        </w:rPr>
      </w:pPr>
      <w:r>
        <w:rPr>
          <w:rFonts w:ascii="Arial" w:cs="Arial" w:eastAsia="Arial" w:hAnsi="Arial"/>
          <w:sz w:val="18"/>
          <w:szCs w:val="18"/>
          <w:b w:val="1"/>
          <w:bCs w:val="1"/>
          <w:color w:val="auto"/>
        </w:rPr>
        <w:t>CORPORATE BORROWING CERTIFICATE</w:t>
      </w:r>
    </w:p>
    <w:p>
      <w:pPr>
        <w:sectPr>
          <w:pgSz w:w="11900" w:h="16838" w:orient="portrait"/>
          <w:cols w:equalWidth="0" w:num="1">
            <w:col w:w="10864"/>
          </w:cols>
          <w:pgMar w:left="436" w:top="270" w:right="59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ORROWER</w:t>
      </w:r>
      <w:r>
        <w:rPr>
          <w:rFonts w:ascii="Arial" w:cs="Arial" w:eastAsia="Arial" w:hAnsi="Arial"/>
          <w:sz w:val="18"/>
          <w:szCs w:val="18"/>
          <w:b w:val="1"/>
          <w:bCs w:val="1"/>
          <w:color w:val="auto"/>
        </w:rPr>
        <w:t>:</w:t>
      </w:r>
    </w:p>
    <w:p>
      <w:pPr>
        <w:spacing w:after="0" w:line="3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ENDERS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89BIO,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SILICON VALLEY BANK, as Collateral Agent and Lender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w:t>
      </w:r>
      <w:r>
        <w:rPr>
          <w:rFonts w:ascii="Arial" w:cs="Arial" w:eastAsia="Arial" w:hAnsi="Arial"/>
          <w:sz w:val="13"/>
          <w:szCs w:val="13"/>
          <w:b w:val="1"/>
          <w:bCs w:val="1"/>
          <w:color w:val="auto"/>
        </w:rPr>
        <w:t>ATE</w:t>
      </w:r>
      <w:r>
        <w:rPr>
          <w:rFonts w:ascii="Arial" w:cs="Arial" w:eastAsia="Arial" w:hAnsi="Arial"/>
          <w:sz w:val="17"/>
          <w:szCs w:val="17"/>
          <w:color w:val="auto"/>
        </w:rPr>
        <w:t>: April 7, 2020</w:t>
      </w:r>
    </w:p>
    <w:p>
      <w:pPr>
        <w:spacing w:after="0" w:line="454" w:lineRule="exact"/>
        <w:rPr>
          <w:sz w:val="20"/>
          <w:szCs w:val="20"/>
          <w:color w:val="auto"/>
        </w:rPr>
      </w:pPr>
    </w:p>
    <w:p>
      <w:pPr>
        <w:sectPr>
          <w:pgSz w:w="11900" w:h="16838" w:orient="portrait"/>
          <w:cols w:equalWidth="0" w:num="3">
            <w:col w:w="984" w:space="560"/>
            <w:col w:w="7000" w:space="720"/>
            <w:col w:w="1600"/>
          </w:cols>
          <w:pgMar w:left="436" w:top="270" w:right="599" w:bottom="1440" w:gutter="0" w:footer="0" w:header="0"/>
          <w:type w:val="continuous"/>
        </w:sectPr>
      </w:pP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I hereby certify as follows, as of the date set forth above:</w:t>
      </w:r>
    </w:p>
    <w:p>
      <w:pPr>
        <w:spacing w:after="0" w:line="117" w:lineRule="exact"/>
        <w:rPr>
          <w:sz w:val="20"/>
          <w:szCs w:val="20"/>
          <w:color w:val="auto"/>
        </w:rPr>
      </w:pPr>
    </w:p>
    <w:p>
      <w:pPr>
        <w:ind w:left="184" w:hanging="184"/>
        <w:spacing w:after="0"/>
        <w:tabs>
          <w:tab w:leader="none" w:pos="184"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am the Secretary, Assistant Secretary or other officer of Borrower. My title is as set forth below.</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85"/>
        </w:numPr>
        <w:rPr>
          <w:rFonts w:ascii="Arial" w:cs="Arial" w:eastAsia="Arial" w:hAnsi="Arial"/>
          <w:sz w:val="18"/>
          <w:szCs w:val="18"/>
          <w:color w:val="auto"/>
        </w:rPr>
      </w:pPr>
      <w:r>
        <w:rPr>
          <w:rFonts w:ascii="Arial" w:cs="Arial" w:eastAsia="Arial" w:hAnsi="Arial"/>
          <w:sz w:val="18"/>
          <w:szCs w:val="18"/>
          <w:color w:val="auto"/>
        </w:rPr>
        <w:t>Borrower’s exact legal name is set forth above. Borrower is a corporation existing under the laws of the State of Delaware .</w:t>
      </w:r>
    </w:p>
    <w:p>
      <w:pPr>
        <w:spacing w:after="0" w:line="117" w:lineRule="exact"/>
        <w:rPr>
          <w:rFonts w:ascii="Arial" w:cs="Arial" w:eastAsia="Arial" w:hAnsi="Arial"/>
          <w:sz w:val="18"/>
          <w:szCs w:val="18"/>
          <w:color w:val="auto"/>
        </w:rPr>
      </w:pPr>
    </w:p>
    <w:p>
      <w:pPr>
        <w:ind w:left="4" w:right="440" w:hanging="4"/>
        <w:spacing w:after="0" w:line="291" w:lineRule="auto"/>
        <w:tabs>
          <w:tab w:leader="none" w:pos="184"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B</w:t>
      </w:r>
      <w:r>
        <w:rPr>
          <w:rFonts w:ascii="Arial" w:cs="Arial" w:eastAsia="Arial" w:hAnsi="Arial"/>
          <w:sz w:val="16"/>
          <w:szCs w:val="16"/>
          <w:color w:val="auto"/>
        </w:rPr>
        <w:t>, respectively, are true, correct and complete copies of (i) Borrower’s Certificate of Incorporation (including amendments), as filed with the Secretary of State of the state in which Borrower is incorporated as set forth in paragraph 2 above; and</w:t>
      </w:r>
    </w:p>
    <w:p>
      <w:pPr>
        <w:ind w:left="4" w:right="20"/>
        <w:spacing w:after="0" w:line="260" w:lineRule="auto"/>
        <w:rPr>
          <w:rFonts w:ascii="Arial" w:cs="Arial" w:eastAsia="Arial" w:hAnsi="Arial"/>
          <w:sz w:val="16"/>
          <w:szCs w:val="16"/>
          <w:color w:val="auto"/>
        </w:rPr>
      </w:pPr>
      <w:r>
        <w:rPr>
          <w:rFonts w:ascii="Arial" w:cs="Arial" w:eastAsia="Arial" w:hAnsi="Arial"/>
          <w:sz w:val="18"/>
          <w:szCs w:val="18"/>
          <w:color w:val="auto"/>
        </w:rPr>
        <w:t>(ii) Borrower’s Bylaws. Neither such Certificate of Incorporation nor such Bylaws have been amended, annulled, rescinded, revoked or supplemented, and such Certificate of Incorporation and such Bylaws remain in full force and effect as of the date hereof.</w:t>
      </w:r>
    </w:p>
    <w:p>
      <w:pPr>
        <w:spacing w:after="0" w:line="77" w:lineRule="exact"/>
        <w:rPr>
          <w:rFonts w:ascii="Arial" w:cs="Arial" w:eastAsia="Arial" w:hAnsi="Arial"/>
          <w:sz w:val="16"/>
          <w:szCs w:val="16"/>
          <w:color w:val="auto"/>
        </w:rPr>
      </w:pPr>
    </w:p>
    <w:p>
      <w:pPr>
        <w:jc w:val="both"/>
        <w:ind w:left="4" w:hanging="4"/>
        <w:spacing w:after="0" w:line="259" w:lineRule="auto"/>
        <w:tabs>
          <w:tab w:leader="none" w:pos="18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following resolutions were duly and validly adopted by Borrower’s Board of Directors at a duly held meeting of such directors (or pursuant to a unanimous written consent or other authorized corporate action). Such resolutions are in full force and effect as of the date hereof and have not been in any way modified, repealed, rescinded, amended or revoked, and the Lenders may rely on them until each Lender receives written notice of revocation from Borrower.</w:t>
      </w:r>
    </w:p>
    <w:p>
      <w:pPr>
        <w:spacing w:after="0" w:line="115" w:lineRule="exact"/>
        <w:rPr>
          <w:sz w:val="20"/>
          <w:szCs w:val="20"/>
          <w:color w:val="auto"/>
        </w:rPr>
      </w:pPr>
    </w:p>
    <w:p>
      <w:pPr>
        <w:jc w:val="center"/>
        <w:ind w:right="-163"/>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ectPr>
          <w:pgSz w:w="11900" w:h="16838" w:orient="portrait"/>
          <w:cols w:equalWidth="0" w:num="1">
            <w:col w:w="10864"/>
          </w:cols>
          <w:pgMar w:left="436" w:top="270" w:right="599" w:bottom="1440" w:gutter="0" w:footer="0" w:header="0"/>
          <w:type w:val="continuous"/>
        </w:sectPr>
      </w:pPr>
    </w:p>
    <w:bookmarkStart w:id="61" w:name="page62"/>
    <w:bookmarkEnd w:id="61"/>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w:t>
      </w:r>
      <w:r>
        <w:rPr>
          <w:rFonts w:ascii="Arial" w:cs="Arial" w:eastAsia="Arial" w:hAnsi="Arial"/>
          <w:sz w:val="12"/>
          <w:szCs w:val="12"/>
          <w:b w:val="1"/>
          <w:bCs w:val="1"/>
          <w:color w:val="auto"/>
        </w:rPr>
        <w:t>ESOLVED</w:t>
      </w:r>
      <w:r>
        <w:rPr>
          <w:rFonts w:ascii="Arial" w:cs="Arial" w:eastAsia="Arial" w:hAnsi="Arial"/>
          <w:sz w:val="16"/>
          <w:szCs w:val="16"/>
          <w:color w:val="auto"/>
        </w:rPr>
        <w:t>, that</w:t>
      </w:r>
      <w:r>
        <w:rPr>
          <w:rFonts w:ascii="Arial" w:cs="Arial" w:eastAsia="Arial" w:hAnsi="Arial"/>
          <w:sz w:val="16"/>
          <w:szCs w:val="16"/>
          <w:b w:val="1"/>
          <w:bCs w:val="1"/>
          <w:color w:val="auto"/>
        </w:rPr>
        <w:t xml:space="preserve"> any one </w:t>
      </w:r>
      <w:r>
        <w:rPr>
          <w:rFonts w:ascii="Arial" w:cs="Arial" w:eastAsia="Arial" w:hAnsi="Arial"/>
          <w:sz w:val="16"/>
          <w:szCs w:val="16"/>
          <w:color w:val="auto"/>
        </w:rPr>
        <w:t>of the following officers or employees of Borrower, whose names, titles and signatures are below, may act on behalf of</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Borrower: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6"/>
              </w:rPr>
              <w:t>Authorized to</w:t>
            </w:r>
          </w:p>
        </w:tc>
      </w:tr>
      <w:tr>
        <w:trPr>
          <w:trHeight w:val="148"/>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Add or Remove</w:t>
            </w:r>
          </w:p>
        </w:tc>
      </w:tr>
      <w:tr>
        <w:trPr>
          <w:trHeight w:val="181"/>
        </w:trPr>
        <w:tc>
          <w:tcPr>
            <w:tcW w:w="3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100" w:type="dxa"/>
            <w:vAlign w:val="bottom"/>
          </w:tcPr>
          <w:p>
            <w:pPr>
              <w:spacing w:after="0"/>
              <w:rPr>
                <w:sz w:val="15"/>
                <w:szCs w:val="15"/>
                <w:color w:val="auto"/>
              </w:rPr>
            </w:pPr>
          </w:p>
        </w:tc>
        <w:tc>
          <w:tcPr>
            <w:tcW w:w="3080" w:type="dxa"/>
            <w:vAlign w:val="bottom"/>
            <w:tcBorders>
              <w:bottom w:val="single" w:sz="8" w:color="auto"/>
            </w:tcBorders>
          </w:tcPr>
          <w:p>
            <w:pPr>
              <w:ind w:left="1420"/>
              <w:spacing w:after="0"/>
              <w:rPr>
                <w:sz w:val="20"/>
                <w:szCs w:val="20"/>
                <w:color w:val="auto"/>
              </w:rPr>
            </w:pPr>
            <w:r>
              <w:rPr>
                <w:rFonts w:ascii="Arial" w:cs="Arial" w:eastAsia="Arial" w:hAnsi="Arial"/>
                <w:sz w:val="14"/>
                <w:szCs w:val="14"/>
                <w:color w:val="auto"/>
              </w:rPr>
              <w:t>Title</w:t>
            </w:r>
          </w:p>
        </w:tc>
        <w:tc>
          <w:tcPr>
            <w:tcW w:w="120" w:type="dxa"/>
            <w:vAlign w:val="bottom"/>
          </w:tcPr>
          <w:p>
            <w:pPr>
              <w:spacing w:after="0"/>
              <w:rPr>
                <w:sz w:val="15"/>
                <w:szCs w:val="15"/>
                <w:color w:val="auto"/>
              </w:rPr>
            </w:pPr>
          </w:p>
        </w:tc>
        <w:tc>
          <w:tcPr>
            <w:tcW w:w="3080" w:type="dxa"/>
            <w:vAlign w:val="bottom"/>
            <w:tcBorders>
              <w:bottom w:val="single" w:sz="8" w:color="auto"/>
            </w:tcBorders>
          </w:tcPr>
          <w:p>
            <w:pPr>
              <w:ind w:left="1260"/>
              <w:spacing w:after="0"/>
              <w:rPr>
                <w:sz w:val="20"/>
                <w:szCs w:val="20"/>
                <w:color w:val="auto"/>
              </w:rPr>
            </w:pPr>
            <w:r>
              <w:rPr>
                <w:rFonts w:ascii="Arial" w:cs="Arial" w:eastAsia="Arial" w:hAnsi="Arial"/>
                <w:sz w:val="14"/>
                <w:szCs w:val="14"/>
                <w:color w:val="auto"/>
              </w:rPr>
              <w:t>Signature</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Signatories</w:t>
            </w:r>
          </w:p>
        </w:tc>
      </w:tr>
      <w:tr>
        <w:trPr>
          <w:trHeight w:val="209"/>
        </w:trPr>
        <w:tc>
          <w:tcPr>
            <w:tcW w:w="3520" w:type="dxa"/>
            <w:vAlign w:val="bottom"/>
          </w:tcPr>
          <w:p>
            <w:pPr>
              <w:spacing w:after="0"/>
              <w:rPr>
                <w:sz w:val="20"/>
                <w:szCs w:val="20"/>
                <w:color w:val="auto"/>
              </w:rPr>
            </w:pPr>
            <w:r>
              <w:rPr>
                <w:rFonts w:ascii="Arial" w:cs="Arial" w:eastAsia="Arial" w:hAnsi="Arial"/>
                <w:sz w:val="18"/>
                <w:szCs w:val="18"/>
                <w:color w:val="auto"/>
              </w:rPr>
              <w:t>Rohan Palekar</w:t>
            </w:r>
          </w:p>
        </w:tc>
        <w:tc>
          <w:tcPr>
            <w:tcW w:w="330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w:t>
            </w:r>
          </w:p>
        </w:tc>
        <w:tc>
          <w:tcPr>
            <w:tcW w:w="3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Ryan Martins</w:t>
            </w:r>
          </w:p>
        </w:tc>
        <w:tc>
          <w:tcPr>
            <w:tcW w:w="330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3080" w:type="dxa"/>
            <w:vAlign w:val="bottom"/>
            <w:tcBorders>
              <w:bottom w:val="single" w:sz="8" w:color="auto"/>
            </w:tcBorders>
          </w:tcPr>
          <w:p>
            <w:pPr>
              <w:spacing w:after="0"/>
              <w:rPr>
                <w:sz w:val="19"/>
                <w:szCs w:val="19"/>
                <w:color w:val="auto"/>
              </w:rPr>
            </w:pPr>
          </w:p>
        </w:tc>
        <w:tc>
          <w:tcPr>
            <w:tcW w:w="1120" w:type="dxa"/>
            <w:vAlign w:val="bottom"/>
            <w:gridSpan w:val="2"/>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Ram Waisbourd</w:t>
            </w:r>
          </w:p>
        </w:tc>
        <w:tc>
          <w:tcPr>
            <w:tcW w:w="3300" w:type="dxa"/>
            <w:vAlign w:val="bottom"/>
            <w:gridSpan w:val="3"/>
          </w:tcPr>
          <w:p>
            <w:pPr>
              <w:ind w:left="100"/>
              <w:spacing w:after="0"/>
              <w:rPr>
                <w:sz w:val="20"/>
                <w:szCs w:val="20"/>
                <w:color w:val="auto"/>
              </w:rPr>
            </w:pPr>
            <w:r>
              <w:rPr>
                <w:rFonts w:ascii="Arial" w:cs="Arial" w:eastAsia="Arial" w:hAnsi="Arial"/>
                <w:sz w:val="18"/>
                <w:szCs w:val="18"/>
                <w:color w:val="auto"/>
              </w:rPr>
              <w:t>Chief Operating Officer</w:t>
            </w:r>
          </w:p>
        </w:tc>
        <w:tc>
          <w:tcPr>
            <w:tcW w:w="3080" w:type="dxa"/>
            <w:vAlign w:val="bottom"/>
            <w:tcBorders>
              <w:bottom w:val="single" w:sz="8" w:color="auto"/>
            </w:tcBorders>
          </w:tcPr>
          <w:p>
            <w:pPr>
              <w:spacing w:after="0"/>
              <w:rPr>
                <w:sz w:val="19"/>
                <w:szCs w:val="19"/>
                <w:color w:val="auto"/>
              </w:rPr>
            </w:pPr>
          </w:p>
        </w:tc>
        <w:tc>
          <w:tcPr>
            <w:tcW w:w="1120" w:type="dxa"/>
            <w:vAlign w:val="bottom"/>
            <w:gridSpan w:val="2"/>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23"/>
        </w:trPr>
        <w:tc>
          <w:tcPr>
            <w:tcW w:w="3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c>
          <w:tcPr>
            <w:tcW w:w="1120" w:type="dxa"/>
            <w:vAlign w:val="bottom"/>
            <w:gridSpan w:val="2"/>
          </w:tcPr>
          <w:p>
            <w:pPr>
              <w:ind w:left="12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11" w:lineRule="exact"/>
        <w:rPr>
          <w:sz w:val="20"/>
          <w:szCs w:val="20"/>
          <w:color w:val="auto"/>
        </w:rPr>
      </w:pPr>
    </w:p>
    <w:p>
      <w:pPr>
        <w:ind w:left="440" w:right="280"/>
        <w:spacing w:after="0" w:line="282" w:lineRule="auto"/>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ESOLVED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URTHER</w:t>
      </w:r>
      <w:r>
        <w:rPr>
          <w:rFonts w:ascii="Arial" w:cs="Arial" w:eastAsia="Arial" w:hAnsi="Arial"/>
          <w:sz w:val="18"/>
          <w:szCs w:val="18"/>
          <w:b w:val="1"/>
          <w:bCs w:val="1"/>
          <w:color w:val="auto"/>
        </w:rPr>
        <w:t xml:space="preserve">, </w:t>
      </w:r>
      <w:r>
        <w:rPr>
          <w:rFonts w:ascii="Arial" w:cs="Arial" w:eastAsia="Arial" w:hAnsi="Arial"/>
          <w:sz w:val="18"/>
          <w:szCs w:val="18"/>
          <w:color w:val="auto"/>
        </w:rPr>
        <w:t>that</w:t>
      </w:r>
      <w:r>
        <w:rPr>
          <w:rFonts w:ascii="Arial" w:cs="Arial" w:eastAsia="Arial" w:hAnsi="Arial"/>
          <w:sz w:val="18"/>
          <w:szCs w:val="18"/>
          <w:b w:val="1"/>
          <w:bCs w:val="1"/>
          <w:color w:val="auto"/>
        </w:rPr>
        <w:t xml:space="preserve"> any one </w:t>
      </w:r>
      <w:r>
        <w:rPr>
          <w:rFonts w:ascii="Arial" w:cs="Arial" w:eastAsia="Arial" w:hAnsi="Arial"/>
          <w:sz w:val="18"/>
          <w:szCs w:val="18"/>
          <w:color w:val="auto"/>
        </w:rPr>
        <w:t>of the persons designated above with a checked box beside his or her name may, from time to time, add or</w:t>
      </w:r>
      <w:r>
        <w:rPr>
          <w:rFonts w:ascii="Arial" w:cs="Arial" w:eastAsia="Arial" w:hAnsi="Arial"/>
          <w:sz w:val="18"/>
          <w:szCs w:val="18"/>
          <w:b w:val="1"/>
          <w:bCs w:val="1"/>
          <w:color w:val="auto"/>
        </w:rPr>
        <w:t xml:space="preserve"> </w:t>
      </w:r>
      <w:r>
        <w:rPr>
          <w:rFonts w:ascii="Arial" w:cs="Arial" w:eastAsia="Arial" w:hAnsi="Arial"/>
          <w:sz w:val="18"/>
          <w:szCs w:val="18"/>
          <w:color w:val="auto"/>
        </w:rPr>
        <w:t>remove any individuals to and from the above list of persons authorized to act on behalf of Borrower.</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ESOLVED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URTHER</w:t>
      </w:r>
      <w:r>
        <w:rPr>
          <w:rFonts w:ascii="Arial" w:cs="Arial" w:eastAsia="Arial" w:hAnsi="Arial"/>
          <w:sz w:val="18"/>
          <w:szCs w:val="18"/>
          <w:b w:val="1"/>
          <w:bCs w:val="1"/>
          <w:color w:val="auto"/>
        </w:rPr>
        <w:t xml:space="preserve">, </w:t>
      </w:r>
      <w:r>
        <w:rPr>
          <w:rFonts w:ascii="Arial" w:cs="Arial" w:eastAsia="Arial" w:hAnsi="Arial"/>
          <w:sz w:val="18"/>
          <w:szCs w:val="18"/>
          <w:color w:val="auto"/>
        </w:rPr>
        <w:t>that such individuals may, on behalf of Borrower: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Borrow Money</w:t>
      </w:r>
      <w:r>
        <w:rPr>
          <w:rFonts w:ascii="Arial" w:cs="Arial" w:eastAsia="Arial" w:hAnsi="Arial"/>
          <w:sz w:val="18"/>
          <w:szCs w:val="18"/>
          <w:color w:val="auto"/>
        </w:rPr>
        <w:t>. Borrow money from the Lenders.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Execute Loan Documents</w:t>
      </w:r>
      <w:r>
        <w:rPr>
          <w:rFonts w:ascii="Arial" w:cs="Arial" w:eastAsia="Arial" w:hAnsi="Arial"/>
          <w:sz w:val="18"/>
          <w:szCs w:val="18"/>
          <w:color w:val="auto"/>
        </w:rPr>
        <w:t>. Execute any loan documents any Lender requires.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Grant Security</w:t>
      </w:r>
      <w:r>
        <w:rPr>
          <w:rFonts w:ascii="Arial" w:cs="Arial" w:eastAsia="Arial" w:hAnsi="Arial"/>
          <w:sz w:val="18"/>
          <w:szCs w:val="18"/>
          <w:color w:val="auto"/>
        </w:rPr>
        <w:t>. Grant Collateral Agent a security interest in any of Borrower’s assets.</w:t>
      </w:r>
    </w:p>
    <w:p>
      <w:pPr>
        <w:spacing w:after="0" w:line="117" w:lineRule="exact"/>
        <w:rPr>
          <w:sz w:val="20"/>
          <w:szCs w:val="20"/>
          <w:color w:val="auto"/>
        </w:rPr>
      </w:pPr>
    </w:p>
    <w:p>
      <w:pPr>
        <w:ind w:left="440" w:right="280"/>
        <w:spacing w:after="0" w:line="282" w:lineRule="auto"/>
        <w:rPr>
          <w:sz w:val="20"/>
          <w:szCs w:val="20"/>
          <w:color w:val="auto"/>
        </w:rPr>
      </w:pPr>
      <w:r>
        <w:rPr>
          <w:rFonts w:ascii="Arial" w:cs="Arial" w:eastAsia="Arial" w:hAnsi="Arial"/>
          <w:sz w:val="18"/>
          <w:szCs w:val="18"/>
          <w:b w:val="1"/>
          <w:bCs w:val="1"/>
          <w:color w:val="auto"/>
        </w:rPr>
        <w:t>Negotiate Items</w:t>
      </w:r>
      <w:r>
        <w:rPr>
          <w:rFonts w:ascii="Arial" w:cs="Arial" w:eastAsia="Arial" w:hAnsi="Arial"/>
          <w:sz w:val="18"/>
          <w:szCs w:val="18"/>
          <w:color w:val="auto"/>
        </w:rPr>
        <w:t>. Negotiate or discount all drafts, trade acceptances, promissory notes, or other indebtedness in which Borrower has an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and receive cash or otherwise use the proceeds.</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Issue Warrants</w:t>
      </w:r>
      <w:r>
        <w:rPr>
          <w:rFonts w:ascii="Arial" w:cs="Arial" w:eastAsia="Arial" w:hAnsi="Arial"/>
          <w:sz w:val="18"/>
          <w:szCs w:val="18"/>
          <w:color w:val="auto"/>
        </w:rPr>
        <w:t>. Issue warrants for Borrower’s capital stock.</w:t>
      </w:r>
    </w:p>
    <w:p>
      <w:pPr>
        <w:spacing w:after="0" w:line="117" w:lineRule="exact"/>
        <w:rPr>
          <w:sz w:val="20"/>
          <w:szCs w:val="20"/>
          <w:color w:val="auto"/>
        </w:rPr>
      </w:pPr>
    </w:p>
    <w:p>
      <w:pPr>
        <w:ind w:left="440" w:right="700"/>
        <w:spacing w:after="0" w:line="347" w:lineRule="auto"/>
        <w:rPr>
          <w:sz w:val="20"/>
          <w:szCs w:val="20"/>
          <w:color w:val="auto"/>
        </w:rPr>
      </w:pPr>
      <w:r>
        <w:rPr>
          <w:rFonts w:ascii="Arial" w:cs="Arial" w:eastAsia="Arial" w:hAnsi="Arial"/>
          <w:sz w:val="16"/>
          <w:szCs w:val="16"/>
          <w:b w:val="1"/>
          <w:bCs w:val="1"/>
          <w:color w:val="auto"/>
        </w:rPr>
        <w:t>Further Acts</w:t>
      </w:r>
      <w:r>
        <w:rPr>
          <w:rFonts w:ascii="Arial" w:cs="Arial" w:eastAsia="Arial" w:hAnsi="Arial"/>
          <w:sz w:val="16"/>
          <w:szCs w:val="16"/>
          <w:color w:val="auto"/>
        </w:rPr>
        <w:t>. Designate other individuals to request advances, pay fees and costs and execute other documents or agreements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or agreement that waive Borrower’s right to a jury trial) they believe to be necessary to effectuate such resolutions.</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ESOLVED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URTHER</w:t>
      </w:r>
      <w:r>
        <w:rPr>
          <w:rFonts w:ascii="Arial" w:cs="Arial" w:eastAsia="Arial" w:hAnsi="Arial"/>
          <w:sz w:val="18"/>
          <w:szCs w:val="18"/>
          <w:b w:val="1"/>
          <w:bCs w:val="1"/>
          <w:color w:val="auto"/>
        </w:rPr>
        <w:t xml:space="preserve">, </w:t>
      </w:r>
      <w:r>
        <w:rPr>
          <w:rFonts w:ascii="Arial" w:cs="Arial" w:eastAsia="Arial" w:hAnsi="Arial"/>
          <w:sz w:val="18"/>
          <w:szCs w:val="18"/>
          <w:color w:val="auto"/>
        </w:rPr>
        <w:t>that all acts authorized by the above resolutions and any prior acts relating thereto are ratified.</w:t>
      </w:r>
    </w:p>
    <w:p>
      <w:pPr>
        <w:spacing w:after="0" w:line="158"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ectPr>
          <w:pgSz w:w="11900" w:h="16838" w:orient="portrait"/>
          <w:cols w:equalWidth="0" w:num="1">
            <w:col w:w="11020"/>
          </w:cols>
          <w:pgMar w:left="440" w:top="270" w:right="439" w:bottom="1440" w:gutter="0" w:footer="0" w:header="0"/>
        </w:sectPr>
      </w:pPr>
    </w:p>
    <w:bookmarkStart w:id="62" w:name="page63"/>
    <w:bookmarkEnd w:id="6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5. The persons listed above are Borrower’s officers or employees with their titles and signatures shown next to their names.</w:t>
      </w:r>
    </w:p>
    <w:p>
      <w:pPr>
        <w:spacing w:after="0" w:line="248"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4594860</wp:posOffset>
            </wp:positionH>
            <wp:positionV relativeFrom="paragraph">
              <wp:posOffset>17145</wp:posOffset>
            </wp:positionV>
            <wp:extent cx="24003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Name: Ram Waisbourd</w:t>
      </w:r>
    </w:p>
    <w:p>
      <w:pPr>
        <w:spacing w:after="0" w:line="27" w:lineRule="exact"/>
        <w:rPr>
          <w:sz w:val="20"/>
          <w:szCs w:val="20"/>
          <w:color w:val="auto"/>
        </w:rPr>
      </w:pPr>
    </w:p>
    <w:p>
      <w:pPr>
        <w:ind w:left="6624"/>
        <w:spacing w:after="0"/>
        <w:tabs>
          <w:tab w:leader="none" w:pos="7224" w:val="left"/>
        </w:tabs>
        <w:rPr>
          <w:sz w:val="20"/>
          <w:szCs w:val="20"/>
          <w:color w:val="auto"/>
        </w:rPr>
      </w:pPr>
      <w:r>
        <w:rPr>
          <w:rFonts w:ascii="Arial" w:cs="Arial" w:eastAsia="Arial" w:hAnsi="Arial"/>
          <w:sz w:val="18"/>
          <w:szCs w:val="18"/>
          <w:b w:val="1"/>
          <w:bCs w:val="1"/>
          <w:color w:val="auto"/>
        </w:rPr>
        <w:t>Title:</w:t>
        <w:tab/>
        <w:t>Chief Operating Officer</w:t>
      </w:r>
    </w:p>
    <w:p>
      <w:pPr>
        <w:spacing w:after="0" w:line="238" w:lineRule="exact"/>
        <w:rPr>
          <w:sz w:val="20"/>
          <w:szCs w:val="20"/>
          <w:color w:val="auto"/>
        </w:rPr>
      </w:pPr>
    </w:p>
    <w:p>
      <w:pPr>
        <w:ind w:left="424" w:hanging="424"/>
        <w:spacing w:after="0" w:line="308" w:lineRule="auto"/>
        <w:tabs>
          <w:tab w:leader="none" w:pos="424" w:val="left"/>
        </w:tabs>
        <w:numPr>
          <w:ilvl w:val="0"/>
          <w:numId w:val="86"/>
        </w:numPr>
        <w:rPr>
          <w:rFonts w:ascii="Arial" w:cs="Arial" w:eastAsia="Arial" w:hAnsi="Arial"/>
          <w:sz w:val="17"/>
          <w:szCs w:val="17"/>
          <w:i w:val="1"/>
          <w:iCs w:val="1"/>
          <w:color w:val="auto"/>
        </w:rPr>
      </w:pPr>
      <w:r>
        <w:rPr>
          <w:rFonts w:ascii="Arial" w:cs="Arial" w:eastAsia="Arial" w:hAnsi="Arial"/>
          <w:sz w:val="17"/>
          <w:szCs w:val="17"/>
          <w:i w:val="1"/>
          <w:iCs w:val="1"/>
          <w:color w:val="auto"/>
        </w:rPr>
        <w:t>If the Secretary, Assistant Secretary or other certifying officer executing above is designated by the resolutions set forth in paragraph 4 as one of the authorized signing officers, this Certificate must also be signed by a second authorized officer or director of Borrower.</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7"/>
          <w:szCs w:val="17"/>
          <w:color w:val="auto"/>
        </w:rPr>
        <w:t>I, the Chief Executive Officer_______________ of Borrower, hereby certify as to paragraphs 1 through 5 above, as of the date set forth above.</w:t>
      </w:r>
    </w:p>
    <w:p>
      <w:pPr>
        <w:spacing w:after="0" w:line="260"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4594860</wp:posOffset>
            </wp:positionH>
            <wp:positionV relativeFrom="paragraph">
              <wp:posOffset>17145</wp:posOffset>
            </wp:positionV>
            <wp:extent cx="24003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Name: Rohan Palekar</w:t>
      </w:r>
    </w:p>
    <w:p>
      <w:pPr>
        <w:spacing w:after="0" w:line="27" w:lineRule="exact"/>
        <w:rPr>
          <w:sz w:val="20"/>
          <w:szCs w:val="20"/>
          <w:color w:val="auto"/>
        </w:rPr>
      </w:pPr>
    </w:p>
    <w:p>
      <w:pPr>
        <w:ind w:left="6624"/>
        <w:spacing w:after="0"/>
        <w:tabs>
          <w:tab w:leader="none" w:pos="7224" w:val="left"/>
        </w:tabs>
        <w:rPr>
          <w:sz w:val="20"/>
          <w:szCs w:val="20"/>
          <w:color w:val="auto"/>
        </w:rPr>
      </w:pPr>
      <w:r>
        <w:rPr>
          <w:rFonts w:ascii="Arial" w:cs="Arial" w:eastAsia="Arial" w:hAnsi="Arial"/>
          <w:sz w:val="18"/>
          <w:szCs w:val="18"/>
          <w:b w:val="1"/>
          <w:bCs w:val="1"/>
          <w:color w:val="auto"/>
        </w:rPr>
        <w:t>Title:</w:t>
        <w:tab/>
        <w:t>Chief Executive Officer</w:t>
      </w:r>
    </w:p>
    <w:p>
      <w:pPr>
        <w:spacing w:after="0" w:line="139" w:lineRule="exact"/>
        <w:rPr>
          <w:sz w:val="20"/>
          <w:szCs w:val="20"/>
          <w:color w:val="auto"/>
        </w:rPr>
      </w:pPr>
    </w:p>
    <w:p>
      <w:pPr>
        <w:jc w:val="center"/>
        <w:ind w:right="-163"/>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Corporate Borrowing Certificate</w:t>
      </w:r>
      <w:r>
        <w:rPr>
          <w:rFonts w:ascii="Arial" w:cs="Arial" w:eastAsia="Arial" w:hAnsi="Arial"/>
          <w:sz w:val="18"/>
          <w:szCs w:val="18"/>
          <w:b w:val="1"/>
          <w:bCs w:val="1"/>
          <w:color w:val="auto"/>
        </w:rPr>
        <w:t>]</w:t>
      </w:r>
    </w:p>
    <w:p>
      <w:pPr>
        <w:sectPr>
          <w:pgSz w:w="11900" w:h="16838" w:orient="portrait"/>
          <w:cols w:equalWidth="0" w:num="1">
            <w:col w:w="10864"/>
          </w:cols>
          <w:pgMar w:left="436" w:top="274" w:right="59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Certificate of Incorporation (including amendments)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Bylaws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attached]</w:t>
      </w:r>
    </w:p>
    <w:p>
      <w:pPr>
        <w:sectPr>
          <w:pgSz w:w="11900" w:h="16838" w:orient="portrait"/>
          <w:cols w:equalWidth="0" w:num="1">
            <w:col w:w="9019"/>
          </w:cols>
          <w:pgMar w:left="1440" w:top="270" w:right="1440" w:bottom="1440" w:gutter="0" w:footer="0" w:header="0"/>
        </w:sectPr>
      </w:pPr>
    </w:p>
    <w:bookmarkStart w:id="65" w:name="page66"/>
    <w:bookmarkEnd w:id="65"/>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CORPORATE BORROWING CERTIFICATE</w:t>
      </w:r>
    </w:p>
    <w:p>
      <w:pPr>
        <w:sectPr>
          <w:pgSz w:w="11900" w:h="16838" w:orient="portrait"/>
          <w:cols w:equalWidth="0" w:num="1">
            <w:col w:w="10964"/>
          </w:cols>
          <w:pgMar w:left="436" w:top="270" w:right="49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ORROWER</w:t>
      </w:r>
      <w:r>
        <w:rPr>
          <w:rFonts w:ascii="Arial" w:cs="Arial" w:eastAsia="Arial" w:hAnsi="Arial"/>
          <w:sz w:val="18"/>
          <w:szCs w:val="18"/>
          <w:b w:val="1"/>
          <w:bCs w:val="1"/>
          <w:color w:val="auto"/>
        </w:rPr>
        <w:t>:</w:t>
      </w:r>
    </w:p>
    <w:p>
      <w:pPr>
        <w:spacing w:after="0" w:line="3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ENDERS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89BIO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SILICON VALLEY BANK, as Collateral Agent and Lender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w:t>
      </w:r>
      <w:r>
        <w:rPr>
          <w:rFonts w:ascii="Arial" w:cs="Arial" w:eastAsia="Arial" w:hAnsi="Arial"/>
          <w:sz w:val="13"/>
          <w:szCs w:val="13"/>
          <w:b w:val="1"/>
          <w:bCs w:val="1"/>
          <w:color w:val="auto"/>
        </w:rPr>
        <w:t>ATE</w:t>
      </w:r>
      <w:r>
        <w:rPr>
          <w:rFonts w:ascii="Arial" w:cs="Arial" w:eastAsia="Arial" w:hAnsi="Arial"/>
          <w:sz w:val="17"/>
          <w:szCs w:val="17"/>
          <w:color w:val="auto"/>
        </w:rPr>
        <w:t>: April 7, 2020</w:t>
      </w:r>
    </w:p>
    <w:p>
      <w:pPr>
        <w:spacing w:after="0" w:line="454" w:lineRule="exact"/>
        <w:rPr>
          <w:sz w:val="20"/>
          <w:szCs w:val="20"/>
          <w:color w:val="auto"/>
        </w:rPr>
      </w:pPr>
    </w:p>
    <w:p>
      <w:pPr>
        <w:sectPr>
          <w:pgSz w:w="11900" w:h="16838" w:orient="portrait"/>
          <w:cols w:equalWidth="0" w:num="3">
            <w:col w:w="1064" w:space="720"/>
            <w:col w:w="4660" w:space="720"/>
            <w:col w:w="3800"/>
          </w:cols>
          <w:pgMar w:left="436" w:top="270" w:right="499" w:bottom="1440" w:gutter="0" w:footer="0" w:header="0"/>
          <w:type w:val="continuous"/>
        </w:sectPr>
      </w:pP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I hereby certify as follows, as of the date set forth above:</w:t>
      </w:r>
    </w:p>
    <w:p>
      <w:pPr>
        <w:spacing w:after="0" w:line="131" w:lineRule="exact"/>
        <w:rPr>
          <w:sz w:val="20"/>
          <w:szCs w:val="20"/>
          <w:color w:val="auto"/>
        </w:rPr>
      </w:pPr>
    </w:p>
    <w:p>
      <w:pPr>
        <w:ind w:left="544" w:hanging="544"/>
        <w:spacing w:after="0"/>
        <w:tabs>
          <w:tab w:leader="none" w:pos="544"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am the Secretary, Assistant Secretary or other officer of Borrower. My title is as set forth below.</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87"/>
        </w:numPr>
        <w:rPr>
          <w:rFonts w:ascii="Arial" w:cs="Arial" w:eastAsia="Arial" w:hAnsi="Arial"/>
          <w:sz w:val="18"/>
          <w:szCs w:val="18"/>
          <w:color w:val="auto"/>
        </w:rPr>
      </w:pPr>
      <w:r>
        <w:rPr>
          <w:rFonts w:ascii="Arial" w:cs="Arial" w:eastAsia="Arial" w:hAnsi="Arial"/>
          <w:sz w:val="18"/>
          <w:szCs w:val="18"/>
          <w:color w:val="auto"/>
        </w:rPr>
        <w:t>Borrower’s exact legal name is set forth above. Borrower is a corporation existing under the laws of the State of Delaware .</w:t>
      </w:r>
    </w:p>
    <w:p>
      <w:pPr>
        <w:spacing w:after="0" w:line="130" w:lineRule="exact"/>
        <w:rPr>
          <w:rFonts w:ascii="Arial" w:cs="Arial" w:eastAsia="Arial" w:hAnsi="Arial"/>
          <w:sz w:val="18"/>
          <w:szCs w:val="18"/>
          <w:color w:val="auto"/>
        </w:rPr>
      </w:pPr>
    </w:p>
    <w:p>
      <w:pPr>
        <w:ind w:left="544" w:hanging="544"/>
        <w:spacing w:after="0" w:line="279" w:lineRule="auto"/>
        <w:tabs>
          <w:tab w:leader="none" w:pos="544"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B</w:t>
      </w:r>
      <w:r>
        <w:rPr>
          <w:rFonts w:ascii="Arial" w:cs="Arial" w:eastAsia="Arial" w:hAnsi="Arial"/>
          <w:sz w:val="17"/>
          <w:szCs w:val="17"/>
          <w:color w:val="auto"/>
        </w:rPr>
        <w:t>, respectively, are true, correct and complete copies of (i) Borrower’s Certificate of Incorporation (including amendments), as filed with the Secretary of State of the state in which Borrower is incorporated as set forth in paragraph 2 above; and (ii) Borrower’s Bylaws. Neither such Certificate of Incorporation nor such Bylaws have been amended, annulled, rescinded, revoked or supplemented, and such Certificate of Incorporation and such Bylaws remain in full force and effect as of the date hereof.</w:t>
      </w:r>
    </w:p>
    <w:p>
      <w:pPr>
        <w:spacing w:after="0" w:line="76" w:lineRule="exact"/>
        <w:rPr>
          <w:rFonts w:ascii="Arial" w:cs="Arial" w:eastAsia="Arial" w:hAnsi="Arial"/>
          <w:sz w:val="17"/>
          <w:szCs w:val="17"/>
          <w:color w:val="auto"/>
        </w:rPr>
      </w:pPr>
    </w:p>
    <w:p>
      <w:pPr>
        <w:ind w:left="544" w:right="60" w:hanging="544"/>
        <w:spacing w:after="0" w:line="259" w:lineRule="auto"/>
        <w:tabs>
          <w:tab w:leader="none" w:pos="544"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following resolutions were duly and validly adopted by Borrower’s Board of Directors at a duly held meeting of such directors (or pursuant to a unanimous written consent or other authorized corporate action). Such resolutions are in full force and effect as of the date hereof and have not been in any way modified, repealed, rescinded, amended or revoked, and the Lenders may rely on them until each Lender receives written notice of revocation from Borrower.</w:t>
      </w:r>
    </w:p>
    <w:p>
      <w:pPr>
        <w:spacing w:after="0" w:line="18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ectPr>
          <w:pgSz w:w="11900" w:h="16838" w:orient="portrait"/>
          <w:cols w:equalWidth="0" w:num="1">
            <w:col w:w="10964"/>
          </w:cols>
          <w:pgMar w:left="436" w:top="270" w:right="499" w:bottom="1440" w:gutter="0" w:footer="0" w:header="0"/>
          <w:type w:val="continuous"/>
        </w:sectPr>
      </w:pPr>
    </w:p>
    <w:bookmarkStart w:id="66" w:name="page67"/>
    <w:bookmarkEnd w:id="66"/>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w:t>
      </w:r>
      <w:r>
        <w:rPr>
          <w:rFonts w:ascii="Arial" w:cs="Arial" w:eastAsia="Arial" w:hAnsi="Arial"/>
          <w:sz w:val="12"/>
          <w:szCs w:val="12"/>
          <w:b w:val="1"/>
          <w:bCs w:val="1"/>
          <w:color w:val="auto"/>
        </w:rPr>
        <w:t>ESOLVED</w:t>
      </w:r>
      <w:r>
        <w:rPr>
          <w:rFonts w:ascii="Arial" w:cs="Arial" w:eastAsia="Arial" w:hAnsi="Arial"/>
          <w:sz w:val="16"/>
          <w:szCs w:val="16"/>
          <w:color w:val="auto"/>
        </w:rPr>
        <w:t>, that</w:t>
      </w:r>
      <w:r>
        <w:rPr>
          <w:rFonts w:ascii="Arial" w:cs="Arial" w:eastAsia="Arial" w:hAnsi="Arial"/>
          <w:sz w:val="16"/>
          <w:szCs w:val="16"/>
          <w:b w:val="1"/>
          <w:bCs w:val="1"/>
          <w:color w:val="auto"/>
        </w:rPr>
        <w:t xml:space="preserve"> any one </w:t>
      </w:r>
      <w:r>
        <w:rPr>
          <w:rFonts w:ascii="Arial" w:cs="Arial" w:eastAsia="Arial" w:hAnsi="Arial"/>
          <w:sz w:val="16"/>
          <w:szCs w:val="16"/>
          <w:color w:val="auto"/>
        </w:rPr>
        <w:t>of the following officers or employees of Borrower, whose names, titles and signatures are below, may act on behalf of</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Borrower: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6"/>
              </w:rPr>
              <w:t>Authorized to</w:t>
            </w: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4"/>
              </w:rPr>
              <w:t>Add or Remove</w:t>
            </w:r>
          </w:p>
        </w:tc>
      </w:tr>
      <w:tr>
        <w:trPr>
          <w:trHeight w:val="181"/>
        </w:trPr>
        <w:tc>
          <w:tcPr>
            <w:tcW w:w="3280" w:type="dxa"/>
            <w:vAlign w:val="bottom"/>
          </w:tcPr>
          <w:p>
            <w:pPr>
              <w:spacing w:after="0"/>
              <w:rPr>
                <w:sz w:val="20"/>
                <w:szCs w:val="20"/>
                <w:color w:val="auto"/>
              </w:rPr>
            </w:pPr>
            <w:r>
              <w:rPr>
                <w:rFonts w:ascii="Arial" w:cs="Arial" w:eastAsia="Arial" w:hAnsi="Arial"/>
                <w:sz w:val="14"/>
                <w:szCs w:val="14"/>
                <w:color w:val="auto"/>
              </w:rPr>
              <w:t>Name</w:t>
            </w:r>
          </w:p>
        </w:tc>
        <w:tc>
          <w:tcPr>
            <w:tcW w:w="120" w:type="dxa"/>
            <w:vAlign w:val="bottom"/>
          </w:tcPr>
          <w:p>
            <w:pPr>
              <w:spacing w:after="0"/>
              <w:rPr>
                <w:sz w:val="15"/>
                <w:szCs w:val="15"/>
                <w:color w:val="auto"/>
              </w:rPr>
            </w:pPr>
          </w:p>
        </w:tc>
        <w:tc>
          <w:tcPr>
            <w:tcW w:w="3080" w:type="dxa"/>
            <w:vAlign w:val="bottom"/>
            <w:gridSpan w:val="2"/>
          </w:tcPr>
          <w:p>
            <w:pPr>
              <w:ind w:left="1340"/>
              <w:spacing w:after="0"/>
              <w:rPr>
                <w:sz w:val="20"/>
                <w:szCs w:val="20"/>
                <w:color w:val="auto"/>
              </w:rPr>
            </w:pPr>
            <w:r>
              <w:rPr>
                <w:rFonts w:ascii="Arial" w:cs="Arial" w:eastAsia="Arial" w:hAnsi="Arial"/>
                <w:sz w:val="14"/>
                <w:szCs w:val="14"/>
                <w:color w:val="auto"/>
              </w:rPr>
              <w:t>Title</w:t>
            </w:r>
          </w:p>
        </w:tc>
        <w:tc>
          <w:tcPr>
            <w:tcW w:w="2960" w:type="dxa"/>
            <w:vAlign w:val="bottom"/>
          </w:tcPr>
          <w:p>
            <w:pPr>
              <w:ind w:left="1200"/>
              <w:spacing w:after="0"/>
              <w:rPr>
                <w:sz w:val="20"/>
                <w:szCs w:val="20"/>
                <w:color w:val="auto"/>
              </w:rPr>
            </w:pPr>
            <w:r>
              <w:rPr>
                <w:rFonts w:ascii="Arial" w:cs="Arial" w:eastAsia="Arial" w:hAnsi="Arial"/>
                <w:sz w:val="14"/>
                <w:szCs w:val="14"/>
                <w:color w:val="auto"/>
              </w:rPr>
              <w:t>Signature</w:t>
            </w:r>
          </w:p>
        </w:tc>
        <w:tc>
          <w:tcPr>
            <w:tcW w:w="14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Signatories</w:t>
            </w:r>
          </w:p>
        </w:tc>
      </w:tr>
      <w:tr>
        <w:trPr>
          <w:trHeight w:val="209"/>
        </w:trPr>
        <w:tc>
          <w:tcPr>
            <w:tcW w:w="3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Rohan Palekar</w:t>
            </w:r>
          </w:p>
        </w:tc>
        <w:tc>
          <w:tcPr>
            <w:tcW w:w="12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w:t>
            </w:r>
          </w:p>
        </w:tc>
        <w:tc>
          <w:tcPr>
            <w:tcW w:w="120" w:type="dxa"/>
            <w:vAlign w:val="bottom"/>
          </w:tcPr>
          <w:p>
            <w:pPr>
              <w:spacing w:after="0"/>
              <w:rPr>
                <w:sz w:val="18"/>
                <w:szCs w:val="18"/>
                <w:color w:val="auto"/>
              </w:rPr>
            </w:pPr>
          </w:p>
        </w:tc>
        <w:tc>
          <w:tcPr>
            <w:tcW w:w="29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Borders>
              <w:top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Ryan Martins</w:t>
            </w:r>
          </w:p>
        </w:tc>
        <w:tc>
          <w:tcPr>
            <w:tcW w:w="1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Ram Waisbourd</w:t>
            </w:r>
          </w:p>
        </w:tc>
        <w:tc>
          <w:tcPr>
            <w:tcW w:w="1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c>
          <w:tcPr>
            <w:tcW w:w="2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r>
      <w:tr>
        <w:trPr>
          <w:trHeight w:val="223"/>
        </w:trPr>
        <w:tc>
          <w:tcPr>
            <w:tcW w:w="3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11" w:lineRule="exact"/>
        <w:rPr>
          <w:sz w:val="20"/>
          <w:szCs w:val="20"/>
          <w:color w:val="auto"/>
        </w:rPr>
      </w:pPr>
    </w:p>
    <w:p>
      <w:pPr>
        <w:ind w:left="440" w:right="280"/>
        <w:spacing w:after="0" w:line="282" w:lineRule="auto"/>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ESOLVED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URTHER</w:t>
      </w:r>
      <w:r>
        <w:rPr>
          <w:rFonts w:ascii="Arial" w:cs="Arial" w:eastAsia="Arial" w:hAnsi="Arial"/>
          <w:sz w:val="18"/>
          <w:szCs w:val="18"/>
          <w:b w:val="1"/>
          <w:bCs w:val="1"/>
          <w:color w:val="auto"/>
        </w:rPr>
        <w:t xml:space="preserve">, </w:t>
      </w:r>
      <w:r>
        <w:rPr>
          <w:rFonts w:ascii="Arial" w:cs="Arial" w:eastAsia="Arial" w:hAnsi="Arial"/>
          <w:sz w:val="18"/>
          <w:szCs w:val="18"/>
          <w:color w:val="auto"/>
        </w:rPr>
        <w:t>that</w:t>
      </w:r>
      <w:r>
        <w:rPr>
          <w:rFonts w:ascii="Arial" w:cs="Arial" w:eastAsia="Arial" w:hAnsi="Arial"/>
          <w:sz w:val="18"/>
          <w:szCs w:val="18"/>
          <w:b w:val="1"/>
          <w:bCs w:val="1"/>
          <w:color w:val="auto"/>
        </w:rPr>
        <w:t xml:space="preserve"> any one </w:t>
      </w:r>
      <w:r>
        <w:rPr>
          <w:rFonts w:ascii="Arial" w:cs="Arial" w:eastAsia="Arial" w:hAnsi="Arial"/>
          <w:sz w:val="18"/>
          <w:szCs w:val="18"/>
          <w:color w:val="auto"/>
        </w:rPr>
        <w:t>of the persons designated above with a checked box beside his or her name may, from time to time, add or</w:t>
      </w:r>
      <w:r>
        <w:rPr>
          <w:rFonts w:ascii="Arial" w:cs="Arial" w:eastAsia="Arial" w:hAnsi="Arial"/>
          <w:sz w:val="18"/>
          <w:szCs w:val="18"/>
          <w:b w:val="1"/>
          <w:bCs w:val="1"/>
          <w:color w:val="auto"/>
        </w:rPr>
        <w:t xml:space="preserve"> </w:t>
      </w:r>
      <w:r>
        <w:rPr>
          <w:rFonts w:ascii="Arial" w:cs="Arial" w:eastAsia="Arial" w:hAnsi="Arial"/>
          <w:sz w:val="18"/>
          <w:szCs w:val="18"/>
          <w:color w:val="auto"/>
        </w:rPr>
        <w:t>remove any individuals to and from the above list of persons authorized to act on behalf of Borrower.</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ESOLVED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URTHER</w:t>
      </w:r>
      <w:r>
        <w:rPr>
          <w:rFonts w:ascii="Arial" w:cs="Arial" w:eastAsia="Arial" w:hAnsi="Arial"/>
          <w:sz w:val="18"/>
          <w:szCs w:val="18"/>
          <w:b w:val="1"/>
          <w:bCs w:val="1"/>
          <w:color w:val="auto"/>
        </w:rPr>
        <w:t xml:space="preserve">, </w:t>
      </w:r>
      <w:r>
        <w:rPr>
          <w:rFonts w:ascii="Arial" w:cs="Arial" w:eastAsia="Arial" w:hAnsi="Arial"/>
          <w:sz w:val="18"/>
          <w:szCs w:val="18"/>
          <w:color w:val="auto"/>
        </w:rPr>
        <w:t>that such individuals may, on behalf of Borrower: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Borrow Money</w:t>
      </w:r>
      <w:r>
        <w:rPr>
          <w:rFonts w:ascii="Arial" w:cs="Arial" w:eastAsia="Arial" w:hAnsi="Arial"/>
          <w:sz w:val="18"/>
          <w:szCs w:val="18"/>
          <w:color w:val="auto"/>
        </w:rPr>
        <w:t>. Borrow money from the Lenders.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Execute Loan Documents</w:t>
      </w:r>
      <w:r>
        <w:rPr>
          <w:rFonts w:ascii="Arial" w:cs="Arial" w:eastAsia="Arial" w:hAnsi="Arial"/>
          <w:sz w:val="18"/>
          <w:szCs w:val="18"/>
          <w:color w:val="auto"/>
        </w:rPr>
        <w:t>. Execute any loan documents any Lender requires.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Grant Security</w:t>
      </w:r>
      <w:r>
        <w:rPr>
          <w:rFonts w:ascii="Arial" w:cs="Arial" w:eastAsia="Arial" w:hAnsi="Arial"/>
          <w:sz w:val="18"/>
          <w:szCs w:val="18"/>
          <w:color w:val="auto"/>
        </w:rPr>
        <w:t>. Grant Collateral Agent a security interest in any of Borrower’s assets.</w:t>
      </w:r>
    </w:p>
    <w:p>
      <w:pPr>
        <w:spacing w:after="0" w:line="117" w:lineRule="exact"/>
        <w:rPr>
          <w:sz w:val="20"/>
          <w:szCs w:val="20"/>
          <w:color w:val="auto"/>
        </w:rPr>
      </w:pPr>
    </w:p>
    <w:p>
      <w:pPr>
        <w:ind w:left="440" w:right="280"/>
        <w:spacing w:after="0" w:line="282" w:lineRule="auto"/>
        <w:rPr>
          <w:sz w:val="20"/>
          <w:szCs w:val="20"/>
          <w:color w:val="auto"/>
        </w:rPr>
      </w:pPr>
      <w:r>
        <w:rPr>
          <w:rFonts w:ascii="Arial" w:cs="Arial" w:eastAsia="Arial" w:hAnsi="Arial"/>
          <w:sz w:val="18"/>
          <w:szCs w:val="18"/>
          <w:b w:val="1"/>
          <w:bCs w:val="1"/>
          <w:color w:val="auto"/>
        </w:rPr>
        <w:t>Negotiate Items</w:t>
      </w:r>
      <w:r>
        <w:rPr>
          <w:rFonts w:ascii="Arial" w:cs="Arial" w:eastAsia="Arial" w:hAnsi="Arial"/>
          <w:sz w:val="18"/>
          <w:szCs w:val="18"/>
          <w:color w:val="auto"/>
        </w:rPr>
        <w:t>. Negotiate or discount all drafts, trade acceptances, promissory notes, or other indebtedness in which Borrower has an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and receive cash or otherwise use the proceeds.</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Issue Warrants</w:t>
      </w:r>
      <w:r>
        <w:rPr>
          <w:rFonts w:ascii="Arial" w:cs="Arial" w:eastAsia="Arial" w:hAnsi="Arial"/>
          <w:sz w:val="18"/>
          <w:szCs w:val="18"/>
          <w:color w:val="auto"/>
        </w:rPr>
        <w:t>. Issue warrants for Borrower’s capital stock.</w:t>
      </w:r>
    </w:p>
    <w:p>
      <w:pPr>
        <w:spacing w:after="0" w:line="117" w:lineRule="exact"/>
        <w:rPr>
          <w:sz w:val="20"/>
          <w:szCs w:val="20"/>
          <w:color w:val="auto"/>
        </w:rPr>
      </w:pPr>
    </w:p>
    <w:p>
      <w:pPr>
        <w:ind w:left="440" w:right="700"/>
        <w:spacing w:after="0" w:line="347" w:lineRule="auto"/>
        <w:rPr>
          <w:sz w:val="20"/>
          <w:szCs w:val="20"/>
          <w:color w:val="auto"/>
        </w:rPr>
      </w:pPr>
      <w:r>
        <w:rPr>
          <w:rFonts w:ascii="Arial" w:cs="Arial" w:eastAsia="Arial" w:hAnsi="Arial"/>
          <w:sz w:val="16"/>
          <w:szCs w:val="16"/>
          <w:b w:val="1"/>
          <w:bCs w:val="1"/>
          <w:color w:val="auto"/>
        </w:rPr>
        <w:t>Further Acts</w:t>
      </w:r>
      <w:r>
        <w:rPr>
          <w:rFonts w:ascii="Arial" w:cs="Arial" w:eastAsia="Arial" w:hAnsi="Arial"/>
          <w:sz w:val="16"/>
          <w:szCs w:val="16"/>
          <w:color w:val="auto"/>
        </w:rPr>
        <w:t>. Designate other individuals to request advances, pay fees and costs and execute other documents or agreements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or agreement that waive Borrower’s right to a jury trial) they believe to be necessary to effectuate such resolutions.</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ESOLVED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URTHER</w:t>
      </w:r>
      <w:r>
        <w:rPr>
          <w:rFonts w:ascii="Arial" w:cs="Arial" w:eastAsia="Arial" w:hAnsi="Arial"/>
          <w:sz w:val="18"/>
          <w:szCs w:val="18"/>
          <w:b w:val="1"/>
          <w:bCs w:val="1"/>
          <w:color w:val="auto"/>
        </w:rPr>
        <w:t xml:space="preserve">, </w:t>
      </w:r>
      <w:r>
        <w:rPr>
          <w:rFonts w:ascii="Arial" w:cs="Arial" w:eastAsia="Arial" w:hAnsi="Arial"/>
          <w:sz w:val="18"/>
          <w:szCs w:val="18"/>
          <w:color w:val="auto"/>
        </w:rPr>
        <w:t>that all acts authorized by the above resolutions and any prior acts relating thereto are ratified.</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ectPr>
          <w:pgSz w:w="11900" w:h="16838" w:orient="portrait"/>
          <w:cols w:equalWidth="0" w:num="1">
            <w:col w:w="11020"/>
          </w:cols>
          <w:pgMar w:left="440" w:top="270" w:right="439" w:bottom="1440" w:gutter="0" w:footer="0" w:header="0"/>
        </w:sectPr>
      </w:pPr>
    </w:p>
    <w:bookmarkStart w:id="67" w:name="page68"/>
    <w:bookmarkEnd w:id="67"/>
    <w:p>
      <w:pPr>
        <w:ind w:left="544" w:hanging="544"/>
        <w:spacing w:after="0"/>
        <w:tabs>
          <w:tab w:leader="none" w:pos="544"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persons listed above are Borrower’s officers or employees with their titles and signatures shown next to their names.</w:t>
      </w:r>
    </w:p>
    <w:p>
      <w:pPr>
        <w:spacing w:after="0" w:line="200" w:lineRule="exact"/>
        <w:rPr>
          <w:sz w:val="20"/>
          <w:szCs w:val="20"/>
          <w:color w:val="auto"/>
        </w:rPr>
      </w:pPr>
    </w:p>
    <w:p>
      <w:pPr>
        <w:spacing w:after="0" w:line="264"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4560570</wp:posOffset>
            </wp:positionH>
            <wp:positionV relativeFrom="paragraph">
              <wp:posOffset>17145</wp:posOffset>
            </wp:positionV>
            <wp:extent cx="24345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Name: Ram Waisbourd</w:t>
      </w:r>
    </w:p>
    <w:p>
      <w:pPr>
        <w:spacing w:after="0" w:line="23" w:lineRule="exact"/>
        <w:rPr>
          <w:sz w:val="20"/>
          <w:szCs w:val="20"/>
          <w:color w:val="auto"/>
        </w:rPr>
      </w:pPr>
    </w:p>
    <w:p>
      <w:pPr>
        <w:ind w:left="6624"/>
        <w:spacing w:after="0"/>
        <w:tabs>
          <w:tab w:leader="none" w:pos="7224" w:val="left"/>
        </w:tabs>
        <w:rPr>
          <w:sz w:val="20"/>
          <w:szCs w:val="20"/>
          <w:color w:val="auto"/>
        </w:rPr>
      </w:pPr>
      <w:r>
        <w:rPr>
          <w:rFonts w:ascii="Arial" w:cs="Arial" w:eastAsia="Arial" w:hAnsi="Arial"/>
          <w:sz w:val="18"/>
          <w:szCs w:val="18"/>
          <w:b w:val="1"/>
          <w:bCs w:val="1"/>
          <w:color w:val="auto"/>
        </w:rPr>
        <w:t>Title:</w:t>
        <w:tab/>
        <w:t>Chief Operating Officer</w:t>
      </w:r>
    </w:p>
    <w:p>
      <w:pPr>
        <w:spacing w:after="0" w:line="359" w:lineRule="exact"/>
        <w:rPr>
          <w:sz w:val="20"/>
          <w:szCs w:val="20"/>
          <w:color w:val="auto"/>
        </w:rPr>
      </w:pPr>
    </w:p>
    <w:p>
      <w:pPr>
        <w:ind w:left="424" w:hanging="424"/>
        <w:spacing w:after="0" w:line="308" w:lineRule="auto"/>
        <w:tabs>
          <w:tab w:leader="none" w:pos="424" w:val="left"/>
        </w:tabs>
        <w:numPr>
          <w:ilvl w:val="0"/>
          <w:numId w:val="89"/>
        </w:numPr>
        <w:rPr>
          <w:rFonts w:ascii="Arial" w:cs="Arial" w:eastAsia="Arial" w:hAnsi="Arial"/>
          <w:sz w:val="17"/>
          <w:szCs w:val="17"/>
          <w:i w:val="1"/>
          <w:iCs w:val="1"/>
          <w:color w:val="auto"/>
        </w:rPr>
      </w:pPr>
      <w:r>
        <w:rPr>
          <w:rFonts w:ascii="Arial" w:cs="Arial" w:eastAsia="Arial" w:hAnsi="Arial"/>
          <w:sz w:val="17"/>
          <w:szCs w:val="17"/>
          <w:i w:val="1"/>
          <w:iCs w:val="1"/>
          <w:color w:val="auto"/>
        </w:rPr>
        <w:t>If the Secretary, Assistant Secretary or other certifying officer executing above is designated by the resolutions set forth in paragraph 4 as one of the authorized signing officers, this Certificate must also be signed by a second authorized officer or director of Borrower.</w:t>
      </w:r>
    </w:p>
    <w:p>
      <w:pPr>
        <w:spacing w:after="0" w:line="146" w:lineRule="exact"/>
        <w:rPr>
          <w:sz w:val="20"/>
          <w:szCs w:val="20"/>
          <w:color w:val="auto"/>
        </w:rPr>
      </w:pPr>
    </w:p>
    <w:p>
      <w:pPr>
        <w:ind w:left="4"/>
        <w:spacing w:after="0"/>
        <w:tabs>
          <w:tab w:leader="none" w:pos="3824" w:val="left"/>
        </w:tabs>
        <w:rPr>
          <w:sz w:val="20"/>
          <w:szCs w:val="20"/>
          <w:color w:val="auto"/>
        </w:rPr>
      </w:pPr>
      <w:r>
        <w:rPr>
          <w:rFonts w:ascii="Arial" w:cs="Arial" w:eastAsia="Arial" w:hAnsi="Arial"/>
          <w:sz w:val="18"/>
          <w:szCs w:val="18"/>
          <w:color w:val="auto"/>
        </w:rPr>
        <w:t>I, the _Chief Executive Officer</w:t>
      </w:r>
      <w:r>
        <w:rPr>
          <w:sz w:val="20"/>
          <w:szCs w:val="20"/>
          <w:color w:val="auto"/>
        </w:rPr>
        <w:tab/>
      </w:r>
      <w:r>
        <w:rPr>
          <w:rFonts w:ascii="Arial" w:cs="Arial" w:eastAsia="Arial" w:hAnsi="Arial"/>
          <w:sz w:val="16"/>
          <w:szCs w:val="16"/>
          <w:color w:val="auto"/>
        </w:rPr>
        <w:t>of Borrower, hereby certify as to paragraphs 1 through 5 above, as of the date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-10160</wp:posOffset>
            </wp:positionV>
            <wp:extent cx="21234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2344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4560570</wp:posOffset>
            </wp:positionH>
            <wp:positionV relativeFrom="paragraph">
              <wp:posOffset>17145</wp:posOffset>
            </wp:positionV>
            <wp:extent cx="24345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Name: Rohan Palekar</w:t>
      </w:r>
    </w:p>
    <w:p>
      <w:pPr>
        <w:spacing w:after="0" w:line="23" w:lineRule="exact"/>
        <w:rPr>
          <w:sz w:val="20"/>
          <w:szCs w:val="20"/>
          <w:color w:val="auto"/>
        </w:rPr>
      </w:pPr>
    </w:p>
    <w:p>
      <w:pPr>
        <w:ind w:left="6624"/>
        <w:spacing w:after="0"/>
        <w:tabs>
          <w:tab w:leader="none" w:pos="7224" w:val="left"/>
        </w:tabs>
        <w:rPr>
          <w:sz w:val="20"/>
          <w:szCs w:val="20"/>
          <w:color w:val="auto"/>
        </w:rPr>
      </w:pPr>
      <w:r>
        <w:rPr>
          <w:rFonts w:ascii="Arial" w:cs="Arial" w:eastAsia="Arial" w:hAnsi="Arial"/>
          <w:sz w:val="18"/>
          <w:szCs w:val="18"/>
          <w:b w:val="1"/>
          <w:bCs w:val="1"/>
          <w:color w:val="auto"/>
        </w:rPr>
        <w:t>Title:</w:t>
        <w:tab/>
        <w:t>Chief Executive Officer</w:t>
      </w:r>
    </w:p>
    <w:p>
      <w:pPr>
        <w:spacing w:after="0" w:line="139" w:lineRule="exact"/>
        <w:rPr>
          <w:sz w:val="20"/>
          <w:szCs w:val="20"/>
          <w:color w:val="auto"/>
        </w:rPr>
      </w:pPr>
    </w:p>
    <w:p>
      <w:pPr>
        <w:jc w:val="center"/>
        <w:ind w:right="-163"/>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Corporate Borrowing Certificate</w:t>
      </w:r>
      <w:r>
        <w:rPr>
          <w:rFonts w:ascii="Arial" w:cs="Arial" w:eastAsia="Arial" w:hAnsi="Arial"/>
          <w:sz w:val="18"/>
          <w:szCs w:val="18"/>
          <w:b w:val="1"/>
          <w:bCs w:val="1"/>
          <w:color w:val="auto"/>
        </w:rPr>
        <w:t>]</w:t>
      </w:r>
    </w:p>
    <w:p>
      <w:pPr>
        <w:sectPr>
          <w:pgSz w:w="11900" w:h="16838" w:orient="portrait"/>
          <w:cols w:equalWidth="0" w:num="1">
            <w:col w:w="10864"/>
          </w:cols>
          <w:pgMar w:left="436" w:top="274" w:right="59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Certificate of Incorporation (including amendments)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Bylaws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attached]</w:t>
      </w:r>
    </w:p>
    <w:p>
      <w:pPr>
        <w:sectPr>
          <w:pgSz w:w="11900" w:h="16838" w:orient="portrait"/>
          <w:cols w:equalWidth="0" w:num="1">
            <w:col w:w="9019"/>
          </w:cols>
          <w:pgMar w:left="1440" w:top="270" w:right="1440"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OFFICER’S CERTIFICATE FOR 89BIO LTD</w:t>
      </w:r>
    </w:p>
    <w:p>
      <w:pPr>
        <w:sectPr>
          <w:pgSz w:w="11900" w:h="16838" w:orient="portrait"/>
          <w:cols w:equalWidth="0" w:num="1">
            <w:col w:w="9019"/>
          </w:cols>
          <w:pgMar w:left="1440" w:top="270" w:right="1440"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[to be attached]</w:t>
      </w:r>
    </w:p>
    <w:p>
      <w:pPr>
        <w:sectPr>
          <w:pgSz w:w="11900" w:h="16838" w:orient="portrait"/>
          <w:cols w:equalWidth="0" w:num="1">
            <w:col w:w="9019"/>
          </w:cols>
          <w:pgMar w:left="1440" w:top="270" w:right="1440" w:bottom="1440" w:gutter="0" w:footer="0" w:header="0"/>
          <w:type w:val="continuous"/>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[89Bio Israel Debenture (floating)]</w:t>
      </w:r>
    </w:p>
    <w:p>
      <w:pPr>
        <w:sectPr>
          <w:pgSz w:w="11900" w:h="16838" w:orient="portrait"/>
          <w:cols w:equalWidth="0" w:num="1">
            <w:col w:w="9019"/>
          </w:cols>
          <w:pgMar w:left="1440" w:top="270" w:right="1440"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D-1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[89Bio Israel Debenture (fixed)]</w:t>
      </w:r>
    </w:p>
    <w:p>
      <w:pPr>
        <w:sectPr>
          <w:pgSz w:w="11900" w:h="16838" w:orient="portrait"/>
          <w:cols w:equalWidth="0" w:num="1">
            <w:col w:w="9019"/>
          </w:cols>
          <w:pgMar w:left="1440" w:top="270"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DEBTOR:</w:t>
            </w:r>
          </w:p>
        </w:tc>
        <w:tc>
          <w:tcPr>
            <w:tcW w:w="5520" w:type="dxa"/>
            <w:vAlign w:val="bottom"/>
            <w:gridSpan w:val="3"/>
          </w:tcPr>
          <w:p>
            <w:pPr>
              <w:ind w:left="380"/>
              <w:spacing w:after="0"/>
              <w:rPr>
                <w:sz w:val="20"/>
                <w:szCs w:val="20"/>
                <w:color w:val="auto"/>
              </w:rPr>
            </w:pPr>
            <w:r>
              <w:rPr>
                <w:rFonts w:ascii="Arial" w:cs="Arial" w:eastAsia="Arial" w:hAnsi="Arial"/>
                <w:sz w:val="18"/>
                <w:szCs w:val="18"/>
                <w:b w:val="1"/>
                <w:bCs w:val="1"/>
                <w:color w:val="auto"/>
              </w:rPr>
              <w:t>89BIO MANAGEMENT, INC.</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SECURED PARTY:</w:t>
            </w:r>
          </w:p>
        </w:tc>
        <w:tc>
          <w:tcPr>
            <w:tcW w:w="5520" w:type="dxa"/>
            <w:vAlign w:val="bottom"/>
            <w:gridSpan w:val="3"/>
          </w:tcPr>
          <w:p>
            <w:pPr>
              <w:ind w:left="380"/>
              <w:spacing w:after="0"/>
              <w:rPr>
                <w:sz w:val="20"/>
                <w:szCs w:val="20"/>
                <w:color w:val="auto"/>
              </w:rPr>
            </w:pPr>
            <w:r>
              <w:rPr>
                <w:rFonts w:ascii="Arial" w:cs="Arial" w:eastAsia="Arial" w:hAnsi="Arial"/>
                <w:sz w:val="18"/>
                <w:szCs w:val="18"/>
                <w:b w:val="1"/>
                <w:bCs w:val="1"/>
                <w:color w:val="auto"/>
              </w:rPr>
              <w:t>SILICON VALLEY BANK,</w:t>
            </w:r>
          </w:p>
        </w:tc>
      </w:tr>
      <w:tr>
        <w:trPr>
          <w:trHeight w:val="234"/>
        </w:trPr>
        <w:tc>
          <w:tcPr>
            <w:tcW w:w="1940" w:type="dxa"/>
            <w:vAlign w:val="bottom"/>
          </w:tcPr>
          <w:p>
            <w:pPr>
              <w:spacing w:after="0"/>
              <w:rPr>
                <w:sz w:val="20"/>
                <w:szCs w:val="20"/>
                <w:color w:val="auto"/>
              </w:rPr>
            </w:pPr>
          </w:p>
        </w:tc>
        <w:tc>
          <w:tcPr>
            <w:tcW w:w="5520" w:type="dxa"/>
            <w:vAlign w:val="bottom"/>
            <w:gridSpan w:val="3"/>
          </w:tcPr>
          <w:p>
            <w:pPr>
              <w:ind w:left="380"/>
              <w:spacing w:after="0"/>
              <w:rPr>
                <w:sz w:val="20"/>
                <w:szCs w:val="20"/>
                <w:color w:val="auto"/>
              </w:rPr>
            </w:pPr>
            <w:r>
              <w:rPr>
                <w:rFonts w:ascii="Arial" w:cs="Arial" w:eastAsia="Arial" w:hAnsi="Arial"/>
                <w:sz w:val="18"/>
                <w:szCs w:val="18"/>
                <w:b w:val="1"/>
                <w:bCs w:val="1"/>
                <w:color w:val="auto"/>
              </w:rPr>
              <w:t>as Collateral Agent</w:t>
            </w:r>
          </w:p>
        </w:tc>
      </w:tr>
      <w:tr>
        <w:trPr>
          <w:trHeight w:val="662"/>
        </w:trPr>
        <w:tc>
          <w:tcPr>
            <w:tcW w:w="1940" w:type="dxa"/>
            <w:vAlign w:val="bottom"/>
          </w:tcPr>
          <w:p>
            <w:pPr>
              <w:spacing w:after="0"/>
              <w:rPr>
                <w:sz w:val="24"/>
                <w:szCs w:val="24"/>
                <w:color w:val="auto"/>
              </w:rPr>
            </w:pPr>
          </w:p>
        </w:tc>
        <w:tc>
          <w:tcPr>
            <w:tcW w:w="5520" w:type="dxa"/>
            <w:vAlign w:val="bottom"/>
            <w:gridSpan w:val="3"/>
          </w:tcPr>
          <w:p>
            <w:pPr>
              <w:jc w:val="center"/>
              <w:ind w:left="1510"/>
              <w:spacing w:after="0"/>
              <w:rPr>
                <w:sz w:val="20"/>
                <w:szCs w:val="20"/>
                <w:color w:val="auto"/>
              </w:rPr>
            </w:pPr>
            <w:r>
              <w:rPr>
                <w:rFonts w:ascii="Arial" w:cs="Arial" w:eastAsia="Arial" w:hAnsi="Arial"/>
                <w:sz w:val="18"/>
                <w:szCs w:val="18"/>
                <w:b w:val="1"/>
                <w:bCs w:val="1"/>
                <w:color w:val="auto"/>
              </w:rPr>
              <w:t>EXHIBIT A TO UCC FINANCING STATEMENT</w:t>
            </w:r>
          </w:p>
        </w:tc>
      </w:tr>
      <w:tr>
        <w:trPr>
          <w:trHeight w:val="392"/>
        </w:trPr>
        <w:tc>
          <w:tcPr>
            <w:tcW w:w="19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Description of Collateral</w:t>
            </w:r>
          </w:p>
        </w:tc>
        <w:tc>
          <w:tcPr>
            <w:tcW w:w="1060" w:type="dxa"/>
            <w:vAlign w:val="bottom"/>
          </w:tcPr>
          <w:p>
            <w:pPr>
              <w:spacing w:after="0"/>
              <w:rPr>
                <w:sz w:val="24"/>
                <w:szCs w:val="24"/>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Collateral consists of all of Debtor’s right, title and interest in and to the following personal property:</w:t>
      </w:r>
    </w:p>
    <w:p>
      <w:pPr>
        <w:spacing w:after="0" w:line="117" w:lineRule="exact"/>
        <w:rPr>
          <w:sz w:val="20"/>
          <w:szCs w:val="20"/>
          <w:color w:val="auto"/>
        </w:rPr>
      </w:pPr>
    </w:p>
    <w:p>
      <w:pPr>
        <w:ind w:right="300" w:firstLine="440"/>
        <w:spacing w:after="0" w:line="275" w:lineRule="auto"/>
        <w:rPr>
          <w:sz w:val="20"/>
          <w:szCs w:val="20"/>
          <w:color w:val="auto"/>
        </w:rPr>
      </w:pPr>
      <w:r>
        <w:rPr>
          <w:rFonts w:ascii="Arial" w:cs="Arial" w:eastAsia="Arial" w:hAnsi="Arial"/>
          <w:sz w:val="17"/>
          <w:szCs w:val="17"/>
          <w:color w:val="auto"/>
        </w:rPr>
        <w:t>All goods, Accounts (including health-care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76"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ind w:right="160" w:firstLine="440"/>
        <w:spacing w:after="0" w:line="296" w:lineRule="auto"/>
        <w:rPr>
          <w:sz w:val="20"/>
          <w:szCs w:val="20"/>
          <w:color w:val="auto"/>
        </w:rPr>
      </w:pPr>
      <w:r>
        <w:rPr>
          <w:rFonts w:ascii="Arial" w:cs="Arial" w:eastAsia="Arial" w:hAnsi="Arial"/>
          <w:sz w:val="16"/>
          <w:szCs w:val="16"/>
          <w:color w:val="auto"/>
        </w:rPr>
        <w:t>Notwithstanding the foregoing, the Collateral does not include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Debtor that are proceeds of the Intellectual Property.</w:t>
      </w:r>
    </w:p>
    <w:p>
      <w:pPr>
        <w:spacing w:after="0" w:line="16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Pursuant to the terms of a certain negative pledge arrangement with Collateral Agent and the Lenders, Debtor has agreed not to encumber any of its Intellectual Property.</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Capitalized terms used but not defined herein have the meanings ascribed in the Uniform Commercial Code in effect in the State of California as in effect from time to time (the “Code”) or, if not defined in the Code, then in the Loan and Security Agreement by and between Debtor, Secured Party and the other Lenders party thereto (as modified, amended and/or restated from time to time).</w:t>
      </w:r>
    </w:p>
    <w:p>
      <w:pPr>
        <w:sectPr>
          <w:pgSz w:w="11900" w:h="16838" w:orient="portrait"/>
          <w:cols w:equalWidth="0" w:num="1">
            <w:col w:w="10980"/>
          </w:cols>
          <w:pgMar w:left="440" w:top="270" w:right="47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DEBTOR:</w:t>
            </w:r>
          </w:p>
        </w:tc>
        <w:tc>
          <w:tcPr>
            <w:tcW w:w="5520" w:type="dxa"/>
            <w:vAlign w:val="bottom"/>
            <w:gridSpan w:val="3"/>
          </w:tcPr>
          <w:p>
            <w:pPr>
              <w:ind w:left="380"/>
              <w:spacing w:after="0"/>
              <w:rPr>
                <w:sz w:val="20"/>
                <w:szCs w:val="20"/>
                <w:color w:val="auto"/>
              </w:rPr>
            </w:pPr>
            <w:r>
              <w:rPr>
                <w:rFonts w:ascii="Arial" w:cs="Arial" w:eastAsia="Arial" w:hAnsi="Arial"/>
                <w:sz w:val="18"/>
                <w:szCs w:val="18"/>
                <w:b w:val="1"/>
                <w:bCs w:val="1"/>
                <w:color w:val="auto"/>
              </w:rPr>
              <w:t>89BIO MANAGEMENT, INC.</w:t>
            </w: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SECURED PARTY:</w:t>
            </w:r>
          </w:p>
        </w:tc>
        <w:tc>
          <w:tcPr>
            <w:tcW w:w="5520" w:type="dxa"/>
            <w:vAlign w:val="bottom"/>
            <w:gridSpan w:val="3"/>
          </w:tcPr>
          <w:p>
            <w:pPr>
              <w:ind w:left="380"/>
              <w:spacing w:after="0"/>
              <w:rPr>
                <w:sz w:val="20"/>
                <w:szCs w:val="20"/>
                <w:color w:val="auto"/>
              </w:rPr>
            </w:pPr>
            <w:r>
              <w:rPr>
                <w:rFonts w:ascii="Arial" w:cs="Arial" w:eastAsia="Arial" w:hAnsi="Arial"/>
                <w:sz w:val="18"/>
                <w:szCs w:val="18"/>
                <w:b w:val="1"/>
                <w:bCs w:val="1"/>
                <w:color w:val="auto"/>
              </w:rPr>
              <w:t>SILICON VALLEY BANK,</w:t>
            </w:r>
          </w:p>
        </w:tc>
      </w:tr>
      <w:tr>
        <w:trPr>
          <w:trHeight w:val="234"/>
        </w:trPr>
        <w:tc>
          <w:tcPr>
            <w:tcW w:w="1940" w:type="dxa"/>
            <w:vAlign w:val="bottom"/>
          </w:tcPr>
          <w:p>
            <w:pPr>
              <w:spacing w:after="0"/>
              <w:rPr>
                <w:sz w:val="20"/>
                <w:szCs w:val="20"/>
                <w:color w:val="auto"/>
              </w:rPr>
            </w:pPr>
          </w:p>
        </w:tc>
        <w:tc>
          <w:tcPr>
            <w:tcW w:w="5520" w:type="dxa"/>
            <w:vAlign w:val="bottom"/>
            <w:gridSpan w:val="3"/>
          </w:tcPr>
          <w:p>
            <w:pPr>
              <w:ind w:left="380"/>
              <w:spacing w:after="0"/>
              <w:rPr>
                <w:sz w:val="20"/>
                <w:szCs w:val="20"/>
                <w:color w:val="auto"/>
              </w:rPr>
            </w:pPr>
            <w:r>
              <w:rPr>
                <w:rFonts w:ascii="Arial" w:cs="Arial" w:eastAsia="Arial" w:hAnsi="Arial"/>
                <w:sz w:val="18"/>
                <w:szCs w:val="18"/>
                <w:b w:val="1"/>
                <w:bCs w:val="1"/>
                <w:color w:val="auto"/>
              </w:rPr>
              <w:t>as Collateral Agent</w:t>
            </w:r>
          </w:p>
        </w:tc>
      </w:tr>
      <w:tr>
        <w:trPr>
          <w:trHeight w:val="662"/>
        </w:trPr>
        <w:tc>
          <w:tcPr>
            <w:tcW w:w="1940" w:type="dxa"/>
            <w:vAlign w:val="bottom"/>
          </w:tcPr>
          <w:p>
            <w:pPr>
              <w:spacing w:after="0"/>
              <w:rPr>
                <w:sz w:val="24"/>
                <w:szCs w:val="24"/>
                <w:color w:val="auto"/>
              </w:rPr>
            </w:pPr>
          </w:p>
        </w:tc>
        <w:tc>
          <w:tcPr>
            <w:tcW w:w="5520" w:type="dxa"/>
            <w:vAlign w:val="bottom"/>
            <w:gridSpan w:val="3"/>
          </w:tcPr>
          <w:p>
            <w:pPr>
              <w:jc w:val="center"/>
              <w:ind w:left="1510"/>
              <w:spacing w:after="0"/>
              <w:rPr>
                <w:sz w:val="20"/>
                <w:szCs w:val="20"/>
                <w:color w:val="auto"/>
              </w:rPr>
            </w:pPr>
            <w:r>
              <w:rPr>
                <w:rFonts w:ascii="Arial" w:cs="Arial" w:eastAsia="Arial" w:hAnsi="Arial"/>
                <w:sz w:val="18"/>
                <w:szCs w:val="18"/>
                <w:b w:val="1"/>
                <w:bCs w:val="1"/>
                <w:color w:val="auto"/>
              </w:rPr>
              <w:t>EXHIBIT A TO UCC FINANCING STATEMENT</w:t>
            </w:r>
          </w:p>
        </w:tc>
      </w:tr>
      <w:tr>
        <w:trPr>
          <w:trHeight w:val="392"/>
        </w:trPr>
        <w:tc>
          <w:tcPr>
            <w:tcW w:w="19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Description of Collateral</w:t>
            </w:r>
          </w:p>
        </w:tc>
        <w:tc>
          <w:tcPr>
            <w:tcW w:w="1060" w:type="dxa"/>
            <w:vAlign w:val="bottom"/>
          </w:tcPr>
          <w:p>
            <w:pPr>
              <w:spacing w:after="0"/>
              <w:rPr>
                <w:sz w:val="24"/>
                <w:szCs w:val="24"/>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Collateral consists of all of Debtor’s right, title and interest in and to the following personal property:</w:t>
      </w:r>
    </w:p>
    <w:p>
      <w:pPr>
        <w:spacing w:after="0" w:line="117" w:lineRule="exact"/>
        <w:rPr>
          <w:sz w:val="20"/>
          <w:szCs w:val="20"/>
          <w:color w:val="auto"/>
        </w:rPr>
      </w:pPr>
    </w:p>
    <w:p>
      <w:pPr>
        <w:ind w:right="240" w:firstLine="440"/>
        <w:spacing w:after="0" w:line="275" w:lineRule="auto"/>
        <w:rPr>
          <w:sz w:val="20"/>
          <w:szCs w:val="20"/>
          <w:color w:val="auto"/>
        </w:rPr>
      </w:pPr>
      <w:r>
        <w:rPr>
          <w:rFonts w:ascii="Arial" w:cs="Arial" w:eastAsia="Arial" w:hAnsi="Arial"/>
          <w:sz w:val="17"/>
          <w:szCs w:val="17"/>
          <w:color w:val="auto"/>
        </w:rPr>
        <w:t>All goods, Accounts (including health-care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76"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Notwithstanding the foregoing, the Collateral does not include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Debtor that are proceeds of the Intellectual Property.</w:t>
      </w:r>
    </w:p>
    <w:p>
      <w:pPr>
        <w:spacing w:after="0" w:line="161" w:lineRule="exact"/>
        <w:rPr>
          <w:sz w:val="20"/>
          <w:szCs w:val="20"/>
          <w:color w:val="auto"/>
        </w:rPr>
      </w:pPr>
    </w:p>
    <w:p>
      <w:pPr>
        <w:jc w:val="both"/>
        <w:ind w:right="80" w:firstLine="440"/>
        <w:spacing w:after="0" w:line="277" w:lineRule="auto"/>
        <w:rPr>
          <w:sz w:val="20"/>
          <w:szCs w:val="20"/>
          <w:color w:val="auto"/>
        </w:rPr>
      </w:pPr>
      <w:r>
        <w:rPr>
          <w:rFonts w:ascii="Arial" w:cs="Arial" w:eastAsia="Arial" w:hAnsi="Arial"/>
          <w:sz w:val="18"/>
          <w:szCs w:val="18"/>
          <w:color w:val="auto"/>
        </w:rPr>
        <w:t>Pursuant to the terms of a certain negative pledge arrangement with Collateral Agent and the Lenders, Debtor has agreed not to encumber any of its Intellectual Property.</w:t>
      </w:r>
    </w:p>
    <w:p>
      <w:pPr>
        <w:spacing w:after="0" w:line="170"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Capitalized terms used but not defined herein have the meanings ascribed in the Uniform Commercial Code in effect in the State of California as in effect from time to time (the “Code”) or, if not defined in the Code, then in the Loan and Security Agreement by and between Debtor, Secured Party and the other Lenders party thereto (as modified, amended and/or restated from time to time).</w:t>
      </w: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1)"/>
      <w:numFmt w:val="lowerLetter"/>
      <w:start w:val="4"/>
    </w:lvl>
  </w:abstractNum>
  <w:abstractNum w:abstractNumId="2">
    <w:nsid w:val="4B588F54"/>
    <w:multiLevelType w:val="hybridMultilevel"/>
    <w:lvl w:ilvl="0">
      <w:lvlJc w:val="left"/>
      <w:lvlText w:val="%1"/>
      <w:numFmt w:val="lowerLetter"/>
      <w:start w:val="1"/>
    </w:lvl>
    <w:lvl w:ilvl="1">
      <w:lvlJc w:val="left"/>
      <w:lvlText w:val="(%2)"/>
      <w:numFmt w:val="lowerLetter"/>
      <w:start w:val="1"/>
    </w:lvl>
  </w:abstractNum>
  <w:abstractNum w:abstractNumId="3">
    <w:nsid w:val="542289EC"/>
    <w:multiLevelType w:val="hybridMultilevel"/>
    <w:lvl w:ilvl="0">
      <w:lvlJc w:val="left"/>
      <w:lvlText w:val="(%1)"/>
      <w:numFmt w:val="lowerLetter"/>
      <w:start w:val="61"/>
    </w:lvl>
    <w:lvl w:ilvl="1">
      <w:lvlJc w:val="left"/>
      <w:lvlText w:val="(%2)"/>
      <w:numFmt w:val="lowerLetter"/>
      <w:start w:val="2"/>
    </w:lvl>
  </w:abstractNum>
  <w:abstractNum w:abstractNumId="4">
    <w:nsid w:val="6DE91B18"/>
    <w:multiLevelType w:val="hybridMultilevel"/>
    <w:lvl w:ilvl="0">
      <w:lvlJc w:val="left"/>
      <w:lvlText w:val="(%1)"/>
      <w:numFmt w:val="lowerLetter"/>
      <w:start w:val="4"/>
    </w:lvl>
  </w:abstractNum>
  <w:abstractNum w:abstractNumId="5">
    <w:nsid w:val="38437FDB"/>
    <w:multiLevelType w:val="hybridMultilevel"/>
    <w:lvl w:ilvl="0">
      <w:lvlJc w:val="left"/>
      <w:lvlText w:val="%1"/>
      <w:numFmt w:val="lowerLetter"/>
      <w:start w:val="1"/>
    </w:lvl>
    <w:lvl w:ilvl="1">
      <w:lvlJc w:val="left"/>
      <w:lvlText w:val="(%2)"/>
      <w:numFmt w:val="lowerLetter"/>
      <w:start w:val="1"/>
    </w:lvl>
  </w:abstractNum>
  <w:abstractNum w:abstractNumId="6">
    <w:nsid w:val="7644A45C"/>
    <w:multiLevelType w:val="hybridMultilevel"/>
    <w:lvl w:ilvl="0">
      <w:lvlJc w:val="left"/>
      <w:lvlText w:val="(%1)"/>
      <w:numFmt w:val="lowerLetter"/>
      <w:start w:val="35"/>
    </w:lvl>
    <w:lvl w:ilvl="1">
      <w:lvlJc w:val="left"/>
      <w:lvlText w:val="(%2)"/>
      <w:numFmt w:val="lowerLetter"/>
      <w:start w:val="2"/>
    </w:lvl>
  </w:abstractNum>
  <w:abstractNum w:abstractNumId="7">
    <w:nsid w:val="32FFF902"/>
    <w:multiLevelType w:val="hybridMultilevel"/>
    <w:lvl w:ilvl="0">
      <w:lvlJc w:val="left"/>
      <w:lvlText w:val="(%1)"/>
      <w:numFmt w:val="lowerLetter"/>
      <w:start w:val="1"/>
    </w:lvl>
    <w:lvl w:ilvl="1">
      <w:lvlJc w:val="left"/>
      <w:lvlText w:val="(%2)"/>
      <w:numFmt w:val="decimal"/>
      <w:start w:val="1"/>
    </w:lvl>
  </w:abstractNum>
  <w:abstractNum w:abstractNumId="8">
    <w:nsid w:val="684A481A"/>
    <w:multiLevelType w:val="hybridMultilevel"/>
    <w:lvl w:ilvl="0">
      <w:lvlJc w:val="left"/>
      <w:lvlText w:val="(%1)"/>
      <w:numFmt w:val="lowerLetter"/>
      <w:start w:val="1"/>
    </w:lvl>
  </w:abstractNum>
  <w:abstractNum w:abstractNumId="9">
    <w:nsid w:val="579478FE"/>
    <w:multiLevelType w:val="hybridMultilevel"/>
    <w:lvl w:ilvl="0">
      <w:lvlJc w:val="left"/>
      <w:lvlText w:val="(%1)"/>
      <w:numFmt w:val="lowerRoman"/>
      <w:start w:val="3"/>
    </w:lvl>
  </w:abstractNum>
  <w:abstractNum w:abstractNumId="10">
    <w:nsid w:val="749ABB43"/>
    <w:multiLevelType w:val="hybridMultilevel"/>
    <w:lvl w:ilvl="0">
      <w:lvlJc w:val="left"/>
      <w:lvlText w:val="["/>
      <w:numFmt w:val="bullet"/>
      <w:start w:val="1"/>
    </w:lvl>
    <w:lvl w:ilvl="1">
      <w:lvlJc w:val="left"/>
      <w:lvlText w:val="%2."/>
      <w:numFmt w:val="decimal"/>
      <w:start w:val="2"/>
    </w:lvl>
  </w:abstractNum>
  <w:abstractNum w:abstractNumId="11">
    <w:nsid w:val="3DC240FB"/>
    <w:multiLevelType w:val="hybridMultilevel"/>
    <w:lvl w:ilvl="0">
      <w:lvlJc w:val="left"/>
      <w:lvlText w:val="%1."/>
      <w:numFmt w:val="decimal"/>
      <w:start w:val="3"/>
    </w:lvl>
  </w:abstractNum>
  <w:abstractNum w:abstractNumId="12">
    <w:nsid w:val="1BA026FA"/>
    <w:multiLevelType w:val="hybridMultilevel"/>
    <w:lvl w:ilvl="0">
      <w:lvlJc w:val="left"/>
      <w:lvlText w:val="%1."/>
      <w:numFmt w:val="decimal"/>
      <w:start w:val="1"/>
    </w:lvl>
  </w:abstractNum>
  <w:abstractNum w:abstractNumId="13">
    <w:nsid w:val="79A1DEAA"/>
    <w:multiLevelType w:val="hybridMultilevel"/>
    <w:lvl w:ilvl="0">
      <w:lvlJc w:val="left"/>
      <w:lvlText w:val="%1."/>
      <w:numFmt w:val="decimal"/>
      <w:start w:val="2"/>
    </w:lvl>
  </w:abstractNum>
  <w:abstractNum w:abstractNumId="14">
    <w:nsid w:val="75C6C33A"/>
    <w:multiLevelType w:val="hybridMultilevel"/>
    <w:lvl w:ilvl="0">
      <w:lvlJc w:val="left"/>
      <w:lvlText w:val="(%1)"/>
      <w:numFmt w:val="lowerLetter"/>
      <w:start w:val="1"/>
    </w:lvl>
    <w:lvl w:ilvl="1">
      <w:lvlJc w:val="left"/>
      <w:lvlText w:val="(%2)"/>
      <w:numFmt w:val="lowerRoman"/>
      <w:start w:val="1"/>
    </w:lvl>
  </w:abstractNum>
  <w:abstractNum w:abstractNumId="15">
    <w:nsid w:val="12E685FB"/>
    <w:multiLevelType w:val="hybridMultilevel"/>
    <w:lvl w:ilvl="0">
      <w:lvlJc w:val="left"/>
      <w:lvlText w:val="%1"/>
      <w:numFmt w:val="lowerRoman"/>
      <w:start w:val="1"/>
    </w:lvl>
    <w:lvl w:ilvl="1">
      <w:lvlJc w:val="left"/>
      <w:lvlText w:val="(%2)"/>
      <w:numFmt w:val="lowerLetter"/>
      <w:start w:val="3"/>
    </w:lvl>
  </w:abstractNum>
  <w:abstractNum w:abstractNumId="16">
    <w:nsid w:val="70C6A529"/>
    <w:multiLevelType w:val="hybridMultilevel"/>
    <w:lvl w:ilvl="0">
      <w:lvlJc w:val="left"/>
      <w:lvlText w:val="(%1)"/>
      <w:numFmt w:val="lowerRoman"/>
      <w:start w:val="4"/>
    </w:lvl>
    <w:lvl w:ilvl="1">
      <w:lvlJc w:val="left"/>
      <w:lvlText w:val="(%2)"/>
      <w:numFmt w:val="lowerLetter"/>
      <w:start w:val="4"/>
    </w:lvl>
  </w:abstractNum>
  <w:abstractNum w:abstractNumId="17">
    <w:nsid w:val="520EEDD1"/>
    <w:multiLevelType w:val="hybridMultilevel"/>
    <w:lvl w:ilvl="0">
      <w:lvlJc w:val="left"/>
      <w:lvlText w:val="(%1)"/>
      <w:numFmt w:val="lowerLetter"/>
      <w:start w:val="1"/>
    </w:lvl>
  </w:abstractNum>
  <w:abstractNum w:abstractNumId="18">
    <w:nsid w:val="374A3FE6"/>
    <w:multiLevelType w:val="hybridMultilevel"/>
    <w:lvl w:ilvl="0">
      <w:lvlJc w:val="left"/>
      <w:lvlText w:val="(%1)"/>
      <w:numFmt w:val="lowerLetter"/>
      <w:start w:val="3"/>
    </w:lvl>
  </w:abstractNum>
  <w:abstractNum w:abstractNumId="19">
    <w:nsid w:val="4F4EF005"/>
    <w:multiLevelType w:val="hybridMultilevel"/>
    <w:lvl w:ilvl="0">
      <w:lvlJc w:val="left"/>
      <w:lvlText w:val=","/>
      <w:numFmt w:val="bullet"/>
      <w:start w:val="1"/>
    </w:lvl>
    <w:lvl w:ilvl="1">
      <w:lvlJc w:val="left"/>
      <w:lvlText w:val="(%2)"/>
      <w:numFmt w:val="lowerLetter"/>
      <w:start w:val="1"/>
    </w:lvl>
  </w:abstractNum>
  <w:abstractNum w:abstractNumId="20">
    <w:nsid w:val="23F9C13C"/>
    <w:multiLevelType w:val="hybridMultilevel"/>
    <w:lvl w:ilvl="0">
      <w:lvlJc w:val="left"/>
      <w:lvlText w:val=","/>
      <w:numFmt w:val="bullet"/>
      <w:start w:val="1"/>
    </w:lvl>
    <w:lvl w:ilvl="1">
      <w:lvlJc w:val="left"/>
      <w:lvlText w:val="(%2)"/>
      <w:numFmt w:val="lowerLetter"/>
      <w:start w:val="2"/>
    </w:lvl>
  </w:abstractNum>
  <w:abstractNum w:abstractNumId="21">
    <w:nsid w:val="649BB77C"/>
    <w:multiLevelType w:val="hybridMultilevel"/>
    <w:lvl w:ilvl="0">
      <w:lvlJc w:val="left"/>
      <w:lvlText w:val="%1"/>
      <w:numFmt w:val="decimal"/>
      <w:start w:val="1"/>
    </w:lvl>
    <w:lvl w:ilvl="1">
      <w:lvlJc w:val="left"/>
      <w:lvlText w:val="(%2)"/>
      <w:numFmt w:val="lowerLetter"/>
      <w:start w:val="3"/>
    </w:lvl>
  </w:abstractNum>
  <w:abstractNum w:abstractNumId="22">
    <w:nsid w:val="275AC794"/>
    <w:multiLevelType w:val="hybridMultilevel"/>
    <w:lvl w:ilvl="0">
      <w:lvlJc w:val="left"/>
      <w:lvlText w:val="%1."/>
      <w:numFmt w:val="decimal"/>
      <w:start w:val="3"/>
    </w:lvl>
    <w:lvl w:ilvl="1">
      <w:lvlJc w:val="left"/>
      <w:lvlText w:val="%2"/>
      <w:numFmt w:val="lowerLetter"/>
      <w:start w:val="1"/>
    </w:lvl>
  </w:abstractNum>
  <w:abstractNum w:abstractNumId="23">
    <w:nsid w:val="39386575"/>
    <w:multiLevelType w:val="hybridMultilevel"/>
    <w:lvl w:ilvl="0">
      <w:lvlJc w:val="left"/>
      <w:lvlText w:val="(%1)"/>
      <w:numFmt w:val="lowerLetter"/>
      <w:start w:val="1"/>
    </w:lvl>
  </w:abstractNum>
  <w:abstractNum w:abstractNumId="24">
    <w:nsid w:val="1CF10FD8"/>
    <w:multiLevelType w:val="hybridMultilevel"/>
    <w:lvl w:ilvl="0">
      <w:lvlJc w:val="left"/>
      <w:lvlText w:val="(%1)"/>
      <w:numFmt w:val="lowerLetter"/>
      <w:start w:val="12"/>
    </w:lvl>
  </w:abstractNum>
  <w:abstractNum w:abstractNumId="25">
    <w:nsid w:val="180115BE"/>
    <w:multiLevelType w:val="hybridMultilevel"/>
    <w:lvl w:ilvl="0">
      <w:lvlJc w:val="left"/>
      <w:lvlText w:val="(%1)"/>
      <w:numFmt w:val="lowerLetter"/>
      <w:start w:val="1"/>
    </w:lvl>
  </w:abstractNum>
  <w:abstractNum w:abstractNumId="26">
    <w:nsid w:val="235BA861"/>
    <w:multiLevelType w:val="hybridMultilevel"/>
    <w:lvl w:ilvl="0">
      <w:lvlJc w:val="left"/>
      <w:lvlText w:val="%1."/>
      <w:numFmt w:val="decimal"/>
      <w:start w:val="4"/>
    </w:lvl>
  </w:abstractNum>
  <w:abstractNum w:abstractNumId="27">
    <w:nsid w:val="47398C89"/>
    <w:multiLevelType w:val="hybridMultilevel"/>
    <w:lvl w:ilvl="0">
      <w:lvlJc w:val="left"/>
      <w:lvlText w:val="%1."/>
      <w:numFmt w:val="decimal"/>
      <w:start w:val="5"/>
    </w:lvl>
  </w:abstractNum>
  <w:abstractNum w:abstractNumId="28">
    <w:nsid w:val="354FE9F9"/>
    <w:multiLevelType w:val="hybridMultilevel"/>
    <w:lvl w:ilvl="0">
      <w:lvlJc w:val="left"/>
      <w:lvlText w:val="(%1)"/>
      <w:numFmt w:val="decimal"/>
      <w:start w:val="5"/>
    </w:lvl>
  </w:abstractNum>
  <w:abstractNum w:abstractNumId="29">
    <w:nsid w:val="15B5AF5C"/>
    <w:multiLevelType w:val="hybridMultilevel"/>
    <w:lvl w:ilvl="0">
      <w:lvlJc w:val="left"/>
      <w:lvlText w:val="(%1)"/>
      <w:numFmt w:val="lowerRoman"/>
      <w:start w:val="3"/>
    </w:lvl>
  </w:abstractNum>
  <w:abstractNum w:abstractNumId="30">
    <w:nsid w:val="741226BB"/>
    <w:multiLevelType w:val="hybridMultilevel"/>
    <w:lvl w:ilvl="0">
      <w:lvlJc w:val="left"/>
      <w:lvlText w:val="%1"/>
      <w:numFmt w:val="decimal"/>
      <w:start w:val="1"/>
    </w:lvl>
    <w:lvl w:ilvl="1">
      <w:lvlJc w:val="left"/>
      <w:lvlText w:val="(%2)"/>
      <w:numFmt w:val="lowerLetter"/>
      <w:start w:val="1"/>
    </w:lvl>
  </w:abstractNum>
  <w:abstractNum w:abstractNumId="31">
    <w:nsid w:val="D34B6A8"/>
    <w:multiLevelType w:val="hybridMultilevel"/>
    <w:lvl w:ilvl="0">
      <w:lvlJc w:val="left"/>
      <w:lvlText w:val="(%1)"/>
      <w:numFmt w:val="decimal"/>
      <w:start w:val="2"/>
    </w:lvl>
    <w:lvl w:ilvl="1">
      <w:lvlJc w:val="left"/>
      <w:lvlText w:val="%2"/>
      <w:numFmt w:val="lowerLetter"/>
      <w:start w:val="1"/>
    </w:lvl>
  </w:abstractNum>
  <w:abstractNum w:abstractNumId="32">
    <w:nsid w:val="10233C99"/>
    <w:multiLevelType w:val="hybridMultilevel"/>
    <w:lvl w:ilvl="0">
      <w:lvlJc w:val="left"/>
      <w:lvlText w:val="(%1)"/>
      <w:numFmt w:val="decimal"/>
      <w:start w:val="1"/>
    </w:lvl>
    <w:lvl w:ilvl="1">
      <w:lvlJc w:val="left"/>
      <w:lvlText w:val="(%2)"/>
      <w:numFmt w:val="lowerLetter"/>
      <w:start w:val="3"/>
    </w:lvl>
  </w:abstractNum>
  <w:abstractNum w:abstractNumId="33">
    <w:nsid w:val="3F6AB60F"/>
    <w:multiLevelType w:val="hybridMultilevel"/>
    <w:lvl w:ilvl="0">
      <w:lvlJc w:val="left"/>
      <w:lvlText w:val="%1."/>
      <w:numFmt w:val="decimal"/>
      <w:start w:val="6"/>
    </w:lvl>
    <w:lvl w:ilvl="1">
      <w:lvlJc w:val="left"/>
      <w:lvlText w:val="(%2)"/>
      <w:numFmt w:val="lowerLetter"/>
      <w:start w:val="1"/>
    </w:lvl>
  </w:abstractNum>
  <w:abstractNum w:abstractNumId="34">
    <w:nsid w:val="6157409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5">
    <w:nsid w:val="7E0C57B1"/>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36">
    <w:nsid w:val="77AE35EB"/>
    <w:multiLevelType w:val="hybridMultilevel"/>
    <w:lvl w:ilvl="0">
      <w:lvlJc w:val="left"/>
      <w:lvlText w:val="(%1)"/>
      <w:numFmt w:val="lowerRoman"/>
      <w:start w:val="8"/>
    </w:lvl>
  </w:abstractNum>
  <w:abstractNum w:abstractNumId="37">
    <w:nsid w:val="579BE4F1"/>
    <w:multiLevelType w:val="hybridMultilevel"/>
    <w:lvl w:ilvl="0">
      <w:lvlJc w:val="left"/>
      <w:lvlText w:val="%1"/>
      <w:numFmt w:val="decimal"/>
      <w:start w:val="1"/>
    </w:lvl>
    <w:lvl w:ilvl="1">
      <w:lvlJc w:val="left"/>
      <w:lvlText w:val="(%2)"/>
      <w:numFmt w:val="lowerLetter"/>
      <w:start w:val="2"/>
    </w:lvl>
  </w:abstractNum>
  <w:abstractNum w:abstractNumId="38">
    <w:nsid w:val="310C50B3"/>
    <w:multiLevelType w:val="hybridMultilevel"/>
    <w:lvl w:ilvl="0">
      <w:lvlJc w:val="left"/>
      <w:lvlText w:val="(%1)"/>
      <w:numFmt w:val="decimal"/>
      <w:start w:val="30"/>
    </w:lvl>
    <w:lvl w:ilvl="1">
      <w:lvlJc w:val="left"/>
      <w:lvlText w:val="(%2)"/>
      <w:numFmt w:val="lowerLetter"/>
      <w:start w:val="3"/>
    </w:lvl>
  </w:abstractNum>
  <w:abstractNum w:abstractNumId="39">
    <w:nsid w:val="5FF87E05"/>
    <w:multiLevelType w:val="hybridMultilevel"/>
    <w:lvl w:ilvl="0">
      <w:lvlJc w:val="left"/>
      <w:lvlText w:val="(%1)"/>
      <w:numFmt w:val="lowerLetter"/>
      <w:start w:val="1"/>
    </w:lvl>
  </w:abstractNum>
  <w:abstractNum w:abstractNumId="40">
    <w:nsid w:val="2F305DEF"/>
    <w:multiLevelType w:val="hybridMultilevel"/>
    <w:lvl w:ilvl="0">
      <w:lvlJc w:val="left"/>
      <w:lvlText w:val="(%1)"/>
      <w:numFmt w:val="lowerLetter"/>
      <w:start w:val="1"/>
    </w:lvl>
  </w:abstractNum>
  <w:abstractNum w:abstractNumId="41">
    <w:nsid w:val="25A70BF7"/>
    <w:multiLevelType w:val="hybridMultilevel"/>
    <w:lvl w:ilvl="0">
      <w:lvlJc w:val="left"/>
      <w:lvlText w:val="%1."/>
      <w:numFmt w:val="decimal"/>
      <w:start w:val="7"/>
    </w:lvl>
  </w:abstractNum>
  <w:abstractNum w:abstractNumId="42">
    <w:nsid w:val="1DBABF00"/>
    <w:multiLevelType w:val="hybridMultilevel"/>
    <w:lvl w:ilvl="0">
      <w:lvlJc w:val="left"/>
      <w:lvlText w:val="(%1)"/>
      <w:numFmt w:val="lowerRoman"/>
      <w:start w:val="2"/>
    </w:lvl>
  </w:abstractNum>
  <w:abstractNum w:abstractNumId="43">
    <w:nsid w:val="4AD084E9"/>
    <w:multiLevelType w:val="hybridMultilevel"/>
    <w:lvl w:ilvl="0">
      <w:lvlJc w:val="left"/>
      <w:lvlText w:val="(%1)"/>
      <w:numFmt w:val="lowerLetter"/>
      <w:start w:val="2"/>
    </w:lvl>
  </w:abstractNum>
  <w:abstractNum w:abstractNumId="44">
    <w:nsid w:val="1F48EAA1"/>
    <w:multiLevelType w:val="hybridMultilevel"/>
    <w:lvl w:ilvl="0">
      <w:lvlJc w:val="left"/>
      <w:lvlText w:val="(%1)"/>
      <w:numFmt w:val="decimal"/>
      <w:start w:val="10"/>
    </w:lvl>
  </w:abstractNum>
  <w:abstractNum w:abstractNumId="45">
    <w:nsid w:val="1381823A"/>
    <w:multiLevelType w:val="hybridMultilevel"/>
    <w:lvl w:ilvl="0">
      <w:lvlJc w:val="left"/>
      <w:lvlText w:val="%1."/>
      <w:numFmt w:val="decimal"/>
      <w:start w:val="8"/>
    </w:lvl>
  </w:abstractNum>
  <w:abstractNum w:abstractNumId="46">
    <w:nsid w:val="5DB70AE5"/>
    <w:multiLevelType w:val="hybridMultilevel"/>
    <w:lvl w:ilvl="0">
      <w:lvlJc w:val="left"/>
      <w:lvlText w:val="(%1)"/>
      <w:numFmt w:val="lowerLetter"/>
      <w:start w:val="1"/>
    </w:lvl>
  </w:abstractNum>
  <w:abstractNum w:abstractNumId="47">
    <w:nsid w:val="100F8FCA"/>
    <w:multiLevelType w:val="hybridMultilevel"/>
    <w:lvl w:ilvl="0">
      <w:lvlJc w:val="left"/>
      <w:lvlText w:val="(%1)"/>
      <w:numFmt w:val="lowerLetter"/>
      <w:start w:val="1"/>
    </w:lvl>
  </w:abstractNum>
  <w:abstractNum w:abstractNumId="48">
    <w:nsid w:val="6590700B"/>
    <w:multiLevelType w:val="hybridMultilevel"/>
    <w:lvl w:ilvl="0">
      <w:lvlJc w:val="left"/>
      <w:lvlText w:val="(%1)"/>
      <w:numFmt w:val="lowerLetter"/>
      <w:start w:val="2"/>
    </w:lvl>
  </w:abstractNum>
  <w:abstractNum w:abstractNumId="49">
    <w:nsid w:val="15014ACB"/>
    <w:multiLevelType w:val="hybridMultilevel"/>
    <w:lvl w:ilvl="0">
      <w:lvlJc w:val="left"/>
      <w:lvlText w:val="(%1)"/>
      <w:numFmt w:val="decimal"/>
      <w:start w:val="10"/>
    </w:lvl>
  </w:abstractNum>
  <w:abstractNum w:abstractNumId="50">
    <w:nsid w:val="5F5E7FD0"/>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1">
    <w:nsid w:val="98A3148"/>
    <w:multiLevelType w:val="hybridMultilevel"/>
    <w:lvl w:ilvl="0">
      <w:lvlJc w:val="left"/>
      <w:lvlText w:val="(%1)"/>
      <w:numFmt w:val="lowerLetter"/>
      <w:start w:val="2"/>
    </w:lvl>
    <w:lvl w:ilvl="1">
      <w:lvlJc w:val="left"/>
      <w:lvlText w:val="(%2)"/>
      <w:numFmt w:val="lowerLetter"/>
      <w:start w:val="2"/>
    </w:lvl>
    <w:lvl w:ilvl="2">
      <w:lvlJc w:val="left"/>
      <w:lvlText w:val="(%3)"/>
      <w:numFmt w:val="lowerLetter"/>
      <w:start w:val="61"/>
    </w:lvl>
  </w:abstractNum>
  <w:abstractNum w:abstractNumId="52">
    <w:nsid w:val="799D024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53">
    <w:nsid w:val="6B94764"/>
    <w:multiLevelType w:val="hybridMultilevel"/>
    <w:lvl w:ilvl="0">
      <w:lvlJc w:val="left"/>
      <w:lvlText w:val="(%1)"/>
      <w:numFmt w:val="lowerRoman"/>
      <w:start w:val="2"/>
    </w:lvl>
  </w:abstractNum>
  <w:abstractNum w:abstractNumId="54">
    <w:nsid w:val="42C296BD"/>
    <w:multiLevelType w:val="hybridMultilevel"/>
    <w:lvl w:ilvl="0">
      <w:lvlJc w:val="left"/>
      <w:lvlText w:val="(%1)"/>
      <w:numFmt w:val="lowerRoman"/>
      <w:start w:val="4"/>
    </w:lvl>
  </w:abstractNum>
  <w:abstractNum w:abstractNumId="55">
    <w:nsid w:val="168E121F"/>
    <w:multiLevelType w:val="hybridMultilevel"/>
    <w:lvl w:ilvl="0">
      <w:lvlJc w:val="left"/>
      <w:lvlText w:val="(%1)"/>
      <w:numFmt w:val="lowerLetter"/>
      <w:start w:val="3"/>
    </w:lvl>
  </w:abstractNum>
  <w:abstractNum w:abstractNumId="56">
    <w:nsid w:val="1EBA5D23"/>
    <w:multiLevelType w:val="hybridMultilevel"/>
    <w:lvl w:ilvl="0">
      <w:lvlJc w:val="left"/>
      <w:lvlText w:val="(%1)"/>
      <w:numFmt w:val="lowerLetter"/>
      <w:start w:val="6"/>
    </w:lvl>
  </w:abstractNum>
  <w:abstractNum w:abstractNumId="57">
    <w:nsid w:val="661E3F1E"/>
    <w:multiLevelType w:val="hybridMultilevel"/>
    <w:lvl w:ilvl="0">
      <w:lvlJc w:val="left"/>
      <w:lvlText w:val="%1."/>
      <w:numFmt w:val="decimal"/>
      <w:start w:val="10"/>
    </w:lvl>
  </w:abstractNum>
  <w:abstractNum w:abstractNumId="58">
    <w:nsid w:val="5DC79EA8"/>
    <w:multiLevelType w:val="hybridMultilevel"/>
    <w:lvl w:ilvl="0">
      <w:lvlJc w:val="left"/>
      <w:lvlText w:val="(%1)"/>
      <w:numFmt w:val="lowerLetter"/>
      <w:start w:val="2"/>
    </w:lvl>
  </w:abstractNum>
  <w:abstractNum w:abstractNumId="59">
    <w:nsid w:val="540A471C"/>
    <w:multiLevelType w:val="hybridMultilevel"/>
    <w:lvl w:ilvl="0">
      <w:lvlJc w:val="left"/>
      <w:lvlText w:val="%1."/>
      <w:numFmt w:val="decimal"/>
      <w:start w:val="11"/>
    </w:lvl>
  </w:abstractNum>
  <w:abstractNum w:abstractNumId="60">
    <w:nsid w:val="7BD3EE7B"/>
    <w:multiLevelType w:val="hybridMultilevel"/>
    <w:lvl w:ilvl="0">
      <w:lvlJc w:val="left"/>
      <w:lvlText w:val="%1."/>
      <w:numFmt w:val="decimal"/>
      <w:start w:val="12"/>
    </w:lvl>
  </w:abstractNum>
  <w:abstractNum w:abstractNumId="61">
    <w:nsid w:val="51D9C564"/>
    <w:multiLevelType w:val="hybridMultilevel"/>
    <w:lvl w:ilvl="0">
      <w:lvlJc w:val="left"/>
      <w:lvlText w:val="(%1)"/>
      <w:numFmt w:val="lowerLetter"/>
      <w:start w:val="25"/>
    </w:lvl>
  </w:abstractNum>
  <w:abstractNum w:abstractNumId="62">
    <w:nsid w:val="613EFDC5"/>
    <w:multiLevelType w:val="hybridMultilevel"/>
    <w:lvl w:ilvl="0">
      <w:lvlJc w:val="left"/>
      <w:lvlText w:val="(%1)"/>
      <w:numFmt w:val="lowerRoman"/>
      <w:start w:val="1"/>
    </w:lvl>
  </w:abstractNum>
  <w:abstractNum w:abstractNumId="63">
    <w:nsid w:val="BF72B14"/>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4"/>
    </w:lvl>
  </w:abstractNum>
  <w:abstractNum w:abstractNumId="64">
    <w:nsid w:val="11447B73"/>
    <w:multiLevelType w:val="hybridMultilevel"/>
    <w:lvl w:ilvl="0">
      <w:lvlJc w:val="left"/>
      <w:lvlText w:val="(%1)"/>
      <w:numFmt w:val="lowerLetter"/>
      <w:start w:val="2"/>
    </w:lvl>
  </w:abstractNum>
  <w:abstractNum w:abstractNumId="65">
    <w:nsid w:val="42963E5A"/>
    <w:multiLevelType w:val="hybridMultilevel"/>
    <w:lvl w:ilvl="0">
      <w:lvlJc w:val="left"/>
      <w:lvlText w:val="(%1)"/>
      <w:numFmt w:val="lowerLetter"/>
      <w:start w:val="4"/>
    </w:lvl>
  </w:abstractNum>
  <w:abstractNum w:abstractNumId="66">
    <w:nsid w:val="A0382C5"/>
    <w:multiLevelType w:val="hybridMultilevel"/>
    <w:lvl w:ilvl="0">
      <w:lvlJc w:val="left"/>
      <w:lvlText w:val="(%1)"/>
      <w:numFmt w:val="lowerRoman"/>
      <w:start w:val="3"/>
    </w:lvl>
  </w:abstractNum>
  <w:abstractNum w:abstractNumId="67">
    <w:nsid w:val="8F2B15E"/>
    <w:multiLevelType w:val="hybridMultilevel"/>
    <w:lvl w:ilvl="0">
      <w:lvlJc w:val="left"/>
      <w:lvlText w:val="%1."/>
      <w:numFmt w:val="decimal"/>
      <w:start w:val="13"/>
    </w:lvl>
  </w:abstractNum>
  <w:abstractNum w:abstractNumId="68">
    <w:nsid w:val="1A32234B"/>
    <w:multiLevelType w:val="hybridMultilevel"/>
    <w:lvl w:ilvl="0">
      <w:lvlJc w:val="left"/>
      <w:lvlText w:val="(%1)"/>
      <w:numFmt w:val="lowerLetter"/>
      <w:start w:val="4"/>
    </w:lvl>
  </w:abstractNum>
  <w:abstractNum w:abstractNumId="69">
    <w:nsid w:val="3B0FD379"/>
    <w:multiLevelType w:val="hybridMultilevel"/>
    <w:lvl w:ilvl="0">
      <w:lvlJc w:val="left"/>
      <w:lvlText w:val="(%1)"/>
      <w:numFmt w:val="lowerLetter"/>
      <w:start w:val="1"/>
    </w:lvl>
  </w:abstractNum>
  <w:abstractNum w:abstractNumId="70">
    <w:nsid w:val="68EB2F63"/>
    <w:multiLevelType w:val="hybridMultilevel"/>
    <w:lvl w:ilvl="0">
      <w:lvlJc w:val="left"/>
      <w:lvlText w:val="(%1)"/>
      <w:numFmt w:val="lowerLetter"/>
      <w:start w:val="3"/>
    </w:lvl>
  </w:abstractNum>
  <w:abstractNum w:abstractNumId="71">
    <w:nsid w:val="4962813B"/>
    <w:multiLevelType w:val="hybridMultilevel"/>
    <w:lvl w:ilvl="0">
      <w:lvlJc w:val="left"/>
      <w:lvlText w:val="(%1)"/>
      <w:numFmt w:val="lowerLetter"/>
      <w:start w:val="1"/>
    </w:lvl>
  </w:abstractNum>
  <w:abstractNum w:abstractNumId="72">
    <w:nsid w:val="60B6DF70"/>
    <w:multiLevelType w:val="hybridMultilevel"/>
    <w:lvl w:ilvl="0">
      <w:lvlJc w:val="left"/>
      <w:lvlText w:val="(%1)"/>
      <w:numFmt w:val="lowerLetter"/>
      <w:start w:val="9"/>
    </w:lvl>
  </w:abstractNum>
  <w:abstractNum w:abstractNumId="73">
    <w:nsid w:val="6A5EE64"/>
    <w:multiLevelType w:val="hybridMultilevel"/>
    <w:lvl w:ilvl="0">
      <w:lvlJc w:val="left"/>
      <w:lvlText w:val="(%1)"/>
      <w:numFmt w:val="lowerLetter"/>
      <w:start w:val="4"/>
    </w:lvl>
  </w:abstractNum>
  <w:abstractNum w:abstractNumId="74">
    <w:nsid w:val="14330624"/>
    <w:multiLevelType w:val="hybridMultilevel"/>
    <w:lvl w:ilvl="0">
      <w:lvlJc w:val="left"/>
      <w:lvlText w:val="(%1)"/>
      <w:numFmt w:val="lowerLetter"/>
      <w:start w:val="1"/>
    </w:lvl>
  </w:abstractNum>
  <w:abstractNum w:abstractNumId="75">
    <w:nsid w:val="7FFFCA11"/>
    <w:multiLevelType w:val="hybridMultilevel"/>
    <w:lvl w:ilvl="0">
      <w:lvlJc w:val="left"/>
      <w:lvlText w:val="(%1)"/>
      <w:numFmt w:val="lowerLetter"/>
      <w:start w:val="7"/>
    </w:lvl>
  </w:abstractNum>
  <w:abstractNum w:abstractNumId="76">
    <w:nsid w:val="1A27709E"/>
    <w:multiLevelType w:val="hybridMultilevel"/>
    <w:lvl w:ilvl="0">
      <w:lvlJc w:val="left"/>
      <w:lvlText w:val="(%1)"/>
      <w:numFmt w:val="lowerLetter"/>
      <w:start w:val="1"/>
    </w:lvl>
  </w:abstractNum>
  <w:abstractNum w:abstractNumId="77">
    <w:nsid w:val="71EA1109"/>
    <w:multiLevelType w:val="hybridMultilevel"/>
    <w:lvl w:ilvl="0">
      <w:lvlJc w:val="left"/>
      <w:lvlText w:val="(%1)"/>
      <w:numFmt w:val="lowerLetter"/>
      <w:start w:val="10"/>
    </w:lvl>
  </w:abstractNum>
  <w:abstractNum w:abstractNumId="78">
    <w:nsid w:val="100F59DC"/>
    <w:multiLevelType w:val="hybridMultilevel"/>
    <w:lvl w:ilvl="0">
      <w:lvlJc w:val="left"/>
      <w:lvlText w:val="(%1)"/>
      <w:numFmt w:val="lowerLetter"/>
      <w:start w:val="2"/>
    </w:lvl>
  </w:abstractNum>
  <w:abstractNum w:abstractNumId="79">
    <w:nsid w:val="7FB7E0AA"/>
    <w:multiLevelType w:val="hybridMultilevel"/>
    <w:lvl w:ilvl="0">
      <w:lvlJc w:val="left"/>
      <w:lvlText w:val="(%1)"/>
      <w:numFmt w:val="lowerLetter"/>
      <w:start w:val="8"/>
    </w:lvl>
  </w:abstractNum>
  <w:abstractNum w:abstractNumId="80">
    <w:nsid w:val="6EB5BD4"/>
    <w:multiLevelType w:val="hybridMultilevel"/>
    <w:lvl w:ilvl="0">
      <w:lvlJc w:val="left"/>
      <w:lvlText w:val="(%1)"/>
      <w:numFmt w:val="lowerRoman"/>
      <w:start w:val="1"/>
    </w:lvl>
  </w:abstractNum>
  <w:abstractNum w:abstractNumId="81">
    <w:nsid w:val="6F6DD9AC"/>
    <w:multiLevelType w:val="hybridMultilevel"/>
    <w:lvl w:ilvl="0">
      <w:lvlJc w:val="left"/>
      <w:lvlText w:val="(%1)"/>
      <w:numFmt w:val="lowerRoman"/>
      <w:start w:val="1"/>
    </w:lvl>
  </w:abstractNum>
  <w:abstractNum w:abstractNumId="82">
    <w:nsid w:val="94211F2"/>
    <w:multiLevelType w:val="hybridMultilevel"/>
    <w:lvl w:ilvl="0">
      <w:lvlJc w:val="left"/>
      <w:lvlText w:val="(%1)"/>
      <w:numFmt w:val="lowerRoman"/>
      <w:start w:val="2"/>
    </w:lvl>
  </w:abstractNum>
  <w:abstractNum w:abstractNumId="83">
    <w:nsid w:val="885E1B"/>
    <w:multiLevelType w:val="hybridMultilevel"/>
    <w:lvl w:ilvl="0">
      <w:lvlJc w:val="left"/>
      <w:lvlText w:val="(%1)"/>
      <w:numFmt w:val="lowerLetter"/>
      <w:start w:val="1"/>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
      <w:numFmt w:val="bullet"/>
      <w:start w:val="1"/>
    </w:lvl>
  </w:abstractNum>
  <w:abstractNum w:abstractNumId="86">
    <w:nsid w:val="1716703B"/>
    <w:multiLevelType w:val="hybridMultilevel"/>
    <w:lvl w:ilvl="0">
      <w:lvlJc w:val="left"/>
      <w:lvlText w:val="%1."/>
      <w:numFmt w:val="decimal"/>
      <w:start w:val="1"/>
    </w:lvl>
  </w:abstractNum>
  <w:abstractNum w:abstractNumId="87">
    <w:nsid w:val="14E17E33"/>
    <w:multiLevelType w:val="hybridMultilevel"/>
    <w:lvl w:ilvl="0">
      <w:lvlJc w:val="left"/>
      <w:lvlText w:val="%1."/>
      <w:numFmt w:val="decimal"/>
      <w:start w:val="5"/>
    </w:lvl>
  </w:abstractNum>
  <w:abstractNum w:abstractNumId="88">
    <w:nsid w:val="3222E7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2020-04-13T07:32:05Z</dcterms:created>
  <dcterms:modified xsi:type="dcterms:W3CDTF">2020-04-13T07:32:05Z</dcterms:modified>
</cp:coreProperties>
</file>