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0673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06730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Mansbach Harry H</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89BIO, INC.</w:t>
      </w:r>
    </w:p>
    <w:p>
      <w:pPr>
        <w:spacing w:after="0" w:line="7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142 SANSOME STREET, 2ND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89bio,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ETNB</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02/14/2020</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66"/>
        <w:spacing w:after="0"/>
        <w:rPr>
          <w:sz w:val="20"/>
          <w:szCs w:val="20"/>
          <w:color w:val="auto"/>
        </w:rPr>
      </w:pPr>
      <w:r>
        <w:rPr>
          <w:rFonts w:ascii="Arial" w:cs="Arial" w:eastAsia="Arial" w:hAnsi="Arial"/>
          <w:sz w:val="17"/>
          <w:szCs w:val="17"/>
          <w:color w:val="0000FF"/>
        </w:rPr>
        <w:t>Chief Medical Officer</w:t>
      </w:r>
    </w:p>
    <w:p>
      <w:pPr>
        <w:spacing w:after="0" w:line="574"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137"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1" w:lineRule="exact"/>
        <w:rPr>
          <w:sz w:val="24"/>
          <w:szCs w:val="24"/>
          <w:color w:val="auto"/>
        </w:rPr>
      </w:pPr>
    </w:p>
    <w:p>
      <w:pPr>
        <w:ind w:left="120" w:right="240"/>
        <w:spacing w:after="0"/>
        <w:rPr>
          <w:sz w:val="20"/>
          <w:szCs w:val="20"/>
          <w:color w:val="auto"/>
        </w:rPr>
      </w:pPr>
      <w:r>
        <w:rPr>
          <w:rFonts w:ascii="Arial" w:cs="Arial" w:eastAsia="Arial" w:hAnsi="Arial"/>
          <w:sz w:val="34"/>
          <w:szCs w:val="34"/>
          <w:color w:val="0000FF"/>
          <w:vertAlign w:val="superscript"/>
        </w:rPr>
        <w:t>SAN</w:t>
      </w:r>
      <w:r>
        <w:rPr>
          <w:rFonts w:ascii="Arial" w:cs="Arial" w:eastAsia="Arial" w:hAnsi="Arial"/>
          <w:sz w:val="17"/>
          <w:szCs w:val="17"/>
          <w:color w:val="0000FF"/>
        </w:rPr>
        <w:t xml:space="preserve"> CA 94104 FRANCISCO</w:t>
      </w:r>
    </w:p>
    <w:p>
      <w:pPr>
        <w:spacing w:after="0" w:line="368"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360" w:space="72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9"/>
        </w:trPr>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32.5</w:t>
            </w:r>
          </w:p>
        </w:tc>
        <w:tc>
          <w:tcPr>
            <w:tcW w:w="1140" w:type="dxa"/>
            <w:vAlign w:val="bottom"/>
          </w:tcPr>
          <w:p>
            <w:pPr>
              <w:jc w:val="right"/>
              <w:ind w:right="198"/>
              <w:spacing w:after="0"/>
              <w:rPr>
                <w:sz w:val="20"/>
                <w:szCs w:val="20"/>
                <w:color w:val="auto"/>
              </w:rPr>
            </w:pPr>
            <w:r>
              <w:rPr>
                <w:rFonts w:ascii="Arial" w:cs="Arial" w:eastAsia="Arial" w:hAnsi="Arial"/>
                <w:sz w:val="13"/>
                <w:szCs w:val="13"/>
                <w:color w:val="0000FF"/>
              </w:rPr>
              <w:t>02/14/2020</w:t>
            </w:r>
          </w:p>
        </w:tc>
        <w:tc>
          <w:tcPr>
            <w:tcW w:w="1120" w:type="dxa"/>
            <w:vAlign w:val="bottom"/>
          </w:tcPr>
          <w:p>
            <w:pPr>
              <w:spacing w:after="0"/>
              <w:rPr>
                <w:sz w:val="17"/>
                <w:szCs w:val="17"/>
                <w:color w:val="auto"/>
              </w:rPr>
            </w:pPr>
          </w:p>
        </w:tc>
        <w:tc>
          <w:tcPr>
            <w:tcW w:w="840" w:type="dxa"/>
            <w:vAlign w:val="bottom"/>
          </w:tcPr>
          <w:p>
            <w:pPr>
              <w:ind w:left="180"/>
              <w:spacing w:after="0"/>
              <w:rPr>
                <w:sz w:val="20"/>
                <w:szCs w:val="20"/>
                <w:color w:val="auto"/>
              </w:rPr>
            </w:pPr>
            <w:r>
              <w:rPr>
                <w:rFonts w:ascii="Arial" w:cs="Arial" w:eastAsia="Arial" w:hAnsi="Arial"/>
                <w:sz w:val="13"/>
                <w:szCs w:val="13"/>
                <w:color w:val="0000FF"/>
              </w:rPr>
              <w:t>A</w:t>
            </w:r>
          </w:p>
        </w:tc>
        <w:tc>
          <w:tcPr>
            <w:tcW w:w="520" w:type="dxa"/>
            <w:vAlign w:val="bottom"/>
          </w:tcPr>
          <w:p>
            <w:pPr>
              <w:ind w:left="80"/>
              <w:spacing w:after="0"/>
              <w:rPr>
                <w:sz w:val="20"/>
                <w:szCs w:val="20"/>
                <w:color w:val="auto"/>
              </w:rPr>
            </w:pPr>
            <w:r>
              <w:rPr>
                <w:rFonts w:ascii="Arial" w:cs="Arial" w:eastAsia="Arial" w:hAnsi="Arial"/>
                <w:sz w:val="13"/>
                <w:szCs w:val="13"/>
                <w:color w:val="0000FF"/>
              </w:rPr>
              <w:t>45,000</w:t>
            </w:r>
          </w:p>
        </w:tc>
        <w:tc>
          <w:tcPr>
            <w:tcW w:w="300" w:type="dxa"/>
            <w:vAlign w:val="bottom"/>
          </w:tcPr>
          <w:p>
            <w:pPr>
              <w:spacing w:after="0"/>
              <w:rPr>
                <w:sz w:val="17"/>
                <w:szCs w:val="17"/>
                <w:color w:val="auto"/>
              </w:rPr>
            </w:pPr>
          </w:p>
        </w:tc>
        <w:tc>
          <w:tcPr>
            <w:tcW w:w="820" w:type="dxa"/>
            <w:vAlign w:val="bottom"/>
          </w:tcPr>
          <w:p>
            <w:pPr>
              <w:ind w:left="340"/>
              <w:spacing w:after="0"/>
              <w:rPr>
                <w:sz w:val="20"/>
                <w:szCs w:val="20"/>
                <w:color w:val="auto"/>
              </w:rPr>
            </w:pPr>
            <w:r>
              <w:rPr>
                <w:rFonts w:ascii="Arial" w:cs="Arial" w:eastAsia="Arial" w:hAnsi="Arial"/>
                <w:sz w:val="11"/>
                <w:szCs w:val="11"/>
                <w:color w:val="008000"/>
              </w:rPr>
              <w:t>(1)</w:t>
            </w:r>
          </w:p>
        </w:tc>
        <w:tc>
          <w:tcPr>
            <w:tcW w:w="760" w:type="dxa"/>
            <w:vAlign w:val="bottom"/>
          </w:tcPr>
          <w:p>
            <w:pPr>
              <w:ind w:left="80"/>
              <w:spacing w:after="0"/>
              <w:rPr>
                <w:sz w:val="20"/>
                <w:szCs w:val="20"/>
                <w:color w:val="auto"/>
              </w:rPr>
            </w:pPr>
            <w:r>
              <w:rPr>
                <w:rFonts w:ascii="Arial" w:cs="Arial" w:eastAsia="Arial" w:hAnsi="Arial"/>
                <w:sz w:val="13"/>
                <w:szCs w:val="13"/>
                <w:color w:val="0000FF"/>
              </w:rPr>
              <w:t>02/14/2030</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45,000</w:t>
            </w:r>
          </w:p>
        </w:tc>
        <w:tc>
          <w:tcPr>
            <w:tcW w:w="72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960" w:type="dxa"/>
            <w:vAlign w:val="bottom"/>
          </w:tcPr>
          <w:p>
            <w:pPr>
              <w:ind w:left="300"/>
              <w:spacing w:after="0"/>
              <w:rPr>
                <w:sz w:val="20"/>
                <w:szCs w:val="20"/>
                <w:color w:val="auto"/>
              </w:rPr>
            </w:pPr>
            <w:r>
              <w:rPr>
                <w:rFonts w:ascii="Arial" w:cs="Arial" w:eastAsia="Arial" w:hAnsi="Arial"/>
                <w:sz w:val="13"/>
                <w:szCs w:val="13"/>
                <w:color w:val="0000FF"/>
              </w:rPr>
              <w:t>45,000</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7"/>
                <w:szCs w:val="17"/>
                <w:color w:val="auto"/>
              </w:rPr>
            </w:pPr>
          </w:p>
        </w:tc>
      </w:tr>
      <w:tr>
        <w:trPr>
          <w:trHeight w:val="109"/>
        </w:trPr>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6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represents a right to purchase a total of 45,000 shares of the Issuer's Common Stock, one quarter of which will vest on February 14, 2021, with the remaining three quarters vesting in equal quarterly installments over the following three years.</w:t>
      </w:r>
    </w:p>
    <w:p>
      <w:pPr>
        <w:spacing w:after="0" w:line="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Ryan A. Murr, as attorney-</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02/19/2020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in-fact for Harry H. Mansbach</w:t>
            </w:r>
          </w:p>
        </w:tc>
        <w:tc>
          <w:tcPr>
            <w:tcW w:w="780" w:type="dxa"/>
            <w:vAlign w:val="bottom"/>
            <w:tcBorders>
              <w:bottom w:val="single" w:sz="8" w:color="auto"/>
            </w:tcBorders>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2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 Signature of Reporting Person</w:t>
            </w:r>
          </w:p>
        </w:tc>
        <w:tc>
          <w:tcPr>
            <w:tcW w:w="180" w:type="dxa"/>
            <w:vAlign w:val="bottom"/>
          </w:tcPr>
          <w:p>
            <w:pPr>
              <w:spacing w:after="0"/>
              <w:rPr>
                <w:sz w:val="20"/>
                <w:szCs w:val="20"/>
                <w:color w:val="auto"/>
              </w:rPr>
            </w:pPr>
          </w:p>
        </w:tc>
        <w:tc>
          <w:tcPr>
            <w:tcW w:w="800" w:type="dxa"/>
            <w:vAlign w:val="bottom"/>
            <w:gridSpan w:val="2"/>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00615" TargetMode="External"/><Relationship Id="rId13" Type="http://schemas.openxmlformats.org/officeDocument/2006/relationships/hyperlink" Target="http://www.sec.gov/cgi-bin/browse-edgar?action=getcompany&amp;CIK=00017851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2020-02-19T17:03:05Z</dcterms:created>
  <dcterms:modified xsi:type="dcterms:W3CDTF">2020-02-19T17:03:05Z</dcterms:modified>
</cp:coreProperties>
</file>