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282559103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9,356,171.00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9,356,171.00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9,356,171.00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9,356,171.00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9,356,171.00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9,356,171.00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9,356,171.00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9,356,171.00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9,356,171.00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89bio,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179"/>
        <w:spacing w:after="0"/>
        <w:rPr>
          <w:sz w:val="20"/>
          <w:szCs w:val="20"/>
          <w:color w:val="auto"/>
        </w:rPr>
      </w:pPr>
      <w:r>
        <w:rPr>
          <w:rFonts w:ascii="Times New Roman" w:cs="Times New Roman" w:eastAsia="Times New Roman" w:hAnsi="Times New Roman"/>
          <w:sz w:val="22"/>
          <w:szCs w:val="22"/>
          <w:color w:val="auto"/>
        </w:rPr>
        <w:t>655 Montgomery Street, Suite 1500, San Francisco, California 94111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86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556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282559103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9,356,171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4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9,356,171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2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9,356,171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60" w:orient="portrait"/>
          <w:cols w:equalWidth="0" w:num="1">
            <w:col w:w="11040"/>
          </w:cols>
          <w:pgMar w:left="360" w:top="112" w:right="499" w:bottom="0" w:gutter="0" w:footer="0" w:header="0"/>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September 30, 2025, is incorporated by reference to items (5) - (9) and (11) of the cover page of the respective Reporting Person. The amount beneficially owned by each Reporting Person is determined based on 148,308,250 Common Stock outstanding as of July 31, 2025, according to the issuer's 10-Q filed with the SEC on August 8, 2025. 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November 14, 2025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2025-11-14T07:22:37Z</dcterms:created>
  <dcterms:modified xsi:type="dcterms:W3CDTF">2025-11-14T07:22:37Z</dcterms:modified>
</cp:coreProperties>
</file>